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26397" w14:textId="77777777" w:rsidR="001D4668" w:rsidRPr="001D4668" w:rsidRDefault="001D4668" w:rsidP="001D4668">
      <w:pPr>
        <w:keepNext/>
        <w:keepLines/>
        <w:spacing w:before="340" w:after="330" w:line="576" w:lineRule="auto"/>
        <w:jc w:val="center"/>
        <w:outlineLvl w:val="0"/>
        <w:rPr>
          <w:rFonts w:ascii="宋体" w:eastAsia="宋体" w:hAnsi="宋体" w:cs="宋体"/>
          <w:b/>
          <w:kern w:val="44"/>
          <w:sz w:val="44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kern w:val="44"/>
          <w:sz w:val="44"/>
          <w:szCs w:val="22"/>
          <w14:ligatures w14:val="standardContextual"/>
        </w:rPr>
        <w:t>充电桩&amp;共享骑行行业解决方案</w:t>
      </w:r>
    </w:p>
    <w:p w14:paraId="65A38EC4" w14:textId="77777777" w:rsidR="001D4668" w:rsidRPr="001D4668" w:rsidRDefault="001D4668" w:rsidP="001D4668">
      <w:pPr>
        <w:widowControl/>
        <w:spacing w:beforeLines="50" w:before="163" w:afterLines="50" w:after="163" w:line="240" w:lineRule="auto"/>
        <w:jc w:val="right"/>
        <w:rPr>
          <w:rFonts w:ascii="宋体" w:eastAsia="宋体" w:hAnsi="宋体" w:cs="宋体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——云商通二代“融易充”上线指引</w:t>
      </w:r>
    </w:p>
    <w:p w14:paraId="4EA8D928" w14:textId="77777777" w:rsidR="001D4668" w:rsidRPr="001D4668" w:rsidRDefault="001D4668" w:rsidP="001D4668">
      <w:pPr>
        <w:keepNext/>
        <w:keepLines/>
        <w:spacing w:before="260" w:after="260" w:line="412" w:lineRule="auto"/>
        <w:outlineLvl w:val="1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 xml:space="preserve">1. 引言 </w:t>
      </w:r>
    </w:p>
    <w:p w14:paraId="3E9FB936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 xml:space="preserve">1.1 编写背景 </w:t>
      </w:r>
    </w:p>
    <w:p w14:paraId="109112C1" w14:textId="77777777" w:rsidR="001D4668" w:rsidRPr="001D4668" w:rsidRDefault="001D4668" w:rsidP="001D4668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“融易充”是行业发展事业部聚焦“共享充电桩”和“共享骑行”两大细分领域，推出的基于云商通二代制定标准的行业解决方案（不涉及行业应用产品搭建），为云商通二代标准接口，但其与云商通二代“KA客户版”的风控规则、入网配置略有不同，故请各分公司参考此文档流程推动项目。</w:t>
      </w:r>
    </w:p>
    <w:p w14:paraId="28892A31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 xml:space="preserve">1.2 编写目的 </w:t>
      </w:r>
    </w:p>
    <w:p w14:paraId="3124567E" w14:textId="77777777" w:rsidR="001D4668" w:rsidRPr="001D4668" w:rsidRDefault="001D4668" w:rsidP="001D4668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本文为充电桩、共享骑行行业客户项目对接的分公司版指引材料，主要描述该业务场景下云商通二代具体解决方案、接口调用方案、入网流程、风控参数等详细内容。</w:t>
      </w:r>
    </w:p>
    <w:p w14:paraId="5A16FE8E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kern w:val="0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 xml:space="preserve">本文主要分为3个部分： </w:t>
      </w:r>
    </w:p>
    <w:p w14:paraId="3F30852C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kern w:val="0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lastRenderedPageBreak/>
        <w:t xml:space="preserve">（1）业务场景与方案； </w:t>
      </w:r>
    </w:p>
    <w:p w14:paraId="4371BEED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（2）业务入网流程；</w:t>
      </w:r>
    </w:p>
    <w:p w14:paraId="7DB6710C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（3）行业版风控参数。</w:t>
      </w:r>
    </w:p>
    <w:p w14:paraId="5B1BC93A" w14:textId="77777777" w:rsidR="001D4668" w:rsidRPr="001D4668" w:rsidRDefault="001D4668" w:rsidP="001D4668">
      <w:pPr>
        <w:keepNext/>
        <w:keepLines/>
        <w:spacing w:before="260" w:after="260" w:line="412" w:lineRule="auto"/>
        <w:outlineLvl w:val="1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2. 业务场景与方案</w:t>
      </w:r>
    </w:p>
    <w:p w14:paraId="54039740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2.1 业务场景描述</w:t>
      </w:r>
    </w:p>
    <w:p w14:paraId="28CE62A5" w14:textId="77777777" w:rsidR="001D4668" w:rsidRPr="001D4668" w:rsidRDefault="001D4668" w:rsidP="001D4668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“融易车”标准立项场景为充电桩品牌方给充电场站实际运营方、场地方等角色进行分账（上游环节中平台方与设备制造商的业务关系属于采购行为，禁入云商通）。</w:t>
      </w:r>
    </w:p>
    <w:p w14:paraId="10AB191A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注：如有企业员工充值场景需提前向事业部报备。</w:t>
      </w:r>
    </w:p>
    <w:p w14:paraId="0EEEC706" w14:textId="77777777" w:rsidR="001D4668" w:rsidRPr="001D4668" w:rsidRDefault="001D4668" w:rsidP="001D4668">
      <w:pPr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/>
          <w:noProof/>
          <w:sz w:val="21"/>
          <w:szCs w:val="22"/>
        </w:rPr>
        <w:drawing>
          <wp:inline distT="0" distB="0" distL="0" distR="0" wp14:anchorId="36658CE6" wp14:editId="56495218">
            <wp:extent cx="5264150" cy="2044700"/>
            <wp:effectExtent l="0" t="0" r="0" b="0"/>
            <wp:docPr id="5" name="图片 2" descr="上下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上下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5FD14" w14:textId="77777777" w:rsidR="001D4668" w:rsidRPr="001D4668" w:rsidRDefault="001D4668" w:rsidP="001D4668">
      <w:pPr>
        <w:keepNext/>
        <w:keepLines/>
        <w:spacing w:before="280" w:after="290" w:line="372" w:lineRule="auto"/>
        <w:outlineLvl w:val="3"/>
        <w:rPr>
          <w:rFonts w:ascii="宋体" w:eastAsia="宋体" w:hAnsi="宋体" w:cs="宋体"/>
          <w:b/>
          <w:szCs w:val="21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Cs w:val="21"/>
          <w14:ligatures w14:val="standardContextual"/>
        </w:rPr>
        <w:lastRenderedPageBreak/>
        <w:t>2.1.1普通消费场景（先付后退）</w:t>
      </w:r>
    </w:p>
    <w:p w14:paraId="72DAE88A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ab/>
        <w:t>消费者在充电/骑行场站，扫码注册并登录应用，选择单次充电/骑行服务，形成订单，预付一定金额，完成充电/骑行后，运营平台根据实际发生金额从该订单的预付款中扣除实际产生金额，将多出的差额部分通过部分退款方式原路返还消费者。</w:t>
      </w:r>
    </w:p>
    <w:p w14:paraId="5317F523" w14:textId="77777777" w:rsidR="001D4668" w:rsidRPr="001D4668" w:rsidRDefault="001D4668" w:rsidP="001D4668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该场景下存在商户申请微信支付分和支付宝先享后付，以减少预付环节、提高消费体验的情况。</w:t>
      </w:r>
    </w:p>
    <w:p w14:paraId="5924150F" w14:textId="77777777" w:rsidR="001D4668" w:rsidRPr="001D4668" w:rsidRDefault="001D4668" w:rsidP="001D4668">
      <w:pPr>
        <w:keepNext/>
        <w:keepLines/>
        <w:spacing w:before="280" w:after="290" w:line="372" w:lineRule="auto"/>
        <w:outlineLvl w:val="3"/>
        <w:rPr>
          <w:rFonts w:ascii="宋体" w:eastAsia="宋体" w:hAnsi="宋体" w:cs="宋体"/>
          <w:b/>
          <w:szCs w:val="21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Cs w:val="21"/>
          <w14:ligatures w14:val="standardContextual"/>
        </w:rPr>
        <w:t>2.1.2信用消费模式（微信支付分、支付宝先享后付）</w:t>
      </w:r>
    </w:p>
    <w:p w14:paraId="5848B604" w14:textId="77777777" w:rsidR="001D4668" w:rsidRPr="001D4668" w:rsidRDefault="001D4668" w:rsidP="001D4668">
      <w:pPr>
        <w:widowControl/>
        <w:numPr>
          <w:ilvl w:val="0"/>
          <w:numId w:val="1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已上线：微信支付分；</w:t>
      </w:r>
    </w:p>
    <w:p w14:paraId="787BA1EC" w14:textId="15FA989C" w:rsidR="001D4668" w:rsidRPr="001D4668" w:rsidRDefault="001D4668" w:rsidP="001D4668">
      <w:pPr>
        <w:widowControl/>
        <w:numPr>
          <w:ilvl w:val="0"/>
          <w:numId w:val="1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准入行业：网约车，两轮四轮充电桩，分时共享单车，自助货柜（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2</w:t>
      </w:r>
      <w:r w:rsidR="00F44EB7">
        <w:rPr>
          <w:rFonts w:ascii="宋体" w:eastAsia="宋体" w:hAnsi="宋体" w:cs="宋体"/>
          <w:color w:val="000000"/>
          <w:kern w:val="0"/>
          <w:sz w:val="22"/>
          <w:szCs w:val="22"/>
        </w:rPr>
        <w:t>024.</w:t>
      </w:r>
      <w:bookmarkStart w:id="0" w:name="_GoBack"/>
      <w:bookmarkEnd w:id="0"/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11.14新增）；</w:t>
      </w:r>
    </w:p>
    <w:p w14:paraId="39FFDF35" w14:textId="77777777" w:rsidR="001D4668" w:rsidRPr="001D4668" w:rsidRDefault="001D4668" w:rsidP="001D4668">
      <w:pPr>
        <w:widowControl/>
        <w:numPr>
          <w:ilvl w:val="0"/>
          <w:numId w:val="1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申请流程：业务支撑申请流程：银联及AT业务变更审批-微信变更-微信支付分申请；</w:t>
      </w:r>
    </w:p>
    <w:p w14:paraId="7C628D4E" w14:textId="77777777" w:rsidR="00F44EB7" w:rsidRDefault="001D4668" w:rsidP="001D4668">
      <w:pPr>
        <w:widowControl/>
        <w:numPr>
          <w:ilvl w:val="0"/>
          <w:numId w:val="1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成本：</w:t>
      </w:r>
    </w:p>
    <w:p w14:paraId="70A59742" w14:textId="77777777" w:rsidR="00F44EB7" w:rsidRDefault="001D4668" w:rsidP="00F44EB7">
      <w:pPr>
        <w:widowControl/>
        <w:spacing w:line="240" w:lineRule="auto"/>
        <w:ind w:left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微信支付分充电桩成本：0.6%</w:t>
      </w:r>
    </w:p>
    <w:p w14:paraId="2822D37D" w14:textId="0BA6376E" w:rsidR="001D4668" w:rsidRPr="001D4668" w:rsidRDefault="001D4668" w:rsidP="00F44EB7">
      <w:pPr>
        <w:widowControl/>
        <w:spacing w:line="240" w:lineRule="auto"/>
        <w:ind w:left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支付宝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芝麻分充电桩成本：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0.38%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（2</w:t>
      </w:r>
      <w:r w:rsidR="00F44EB7">
        <w:rPr>
          <w:rFonts w:ascii="宋体" w:eastAsia="宋体" w:hAnsi="宋体" w:cs="宋体"/>
          <w:color w:val="000000"/>
          <w:kern w:val="0"/>
          <w:sz w:val="22"/>
          <w:szCs w:val="22"/>
        </w:rPr>
        <w:t>025年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1</w:t>
      </w:r>
      <w:r w:rsidR="00F44EB7">
        <w:rPr>
          <w:rFonts w:ascii="宋体" w:eastAsia="宋体" w:hAnsi="宋体" w:cs="宋体"/>
          <w:color w:val="000000"/>
          <w:kern w:val="0"/>
          <w:sz w:val="22"/>
          <w:szCs w:val="22"/>
        </w:rPr>
        <w:t>2月31日前，成本为</w:t>
      </w:r>
      <w:r w:rsidR="00F44EB7" w:rsidRP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0.25%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，且在</w:t>
      </w:r>
      <w:r w:rsidR="00F44EB7" w:rsidRP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2025.4.20-2026.3.31期间，额外享0.05%返佣</w:t>
      </w:r>
      <w:r w:rsidR="00F44EB7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）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；</w:t>
      </w:r>
    </w:p>
    <w:p w14:paraId="5B183714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注：如分公司商户有需求接入支付宝先享后付，可提需求给事业部，由事业部提交需求给研发。</w:t>
      </w:r>
    </w:p>
    <w:p w14:paraId="4B05DDD8" w14:textId="77777777" w:rsidR="001D4668" w:rsidRPr="001D4668" w:rsidRDefault="001D4668" w:rsidP="001D4668">
      <w:pPr>
        <w:keepNext/>
        <w:keepLines/>
        <w:spacing w:before="280" w:after="290" w:line="372" w:lineRule="auto"/>
        <w:outlineLvl w:val="3"/>
        <w:rPr>
          <w:rFonts w:ascii="宋体" w:eastAsia="宋体" w:hAnsi="宋体" w:cs="宋体"/>
          <w:b/>
          <w:szCs w:val="21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Cs w:val="21"/>
          <w14:ligatures w14:val="standardContextual"/>
        </w:rPr>
        <w:t>2.1.3充值场景</w:t>
      </w:r>
    </w:p>
    <w:p w14:paraId="3B1C90AB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ab/>
        <w:t>个人充值：消费者在居住地或办公地等固定场所，需要多次充电或骑行时，如平台有充值的优惠营销活动时，会选择充值方式，进行长期的充电和骑行。</w:t>
      </w:r>
    </w:p>
    <w:p w14:paraId="51E6CADC" w14:textId="77777777" w:rsidR="001D4668" w:rsidRPr="001D4668" w:rsidRDefault="001D4668" w:rsidP="001D4668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lastRenderedPageBreak/>
        <w:t>企业充值：企业与运营平台合作，作为员工福利，或新能源车购车赠送充电卡，用于企业员工、购车者，在运营平台下购买充电服务。企业员工或购车者在居住小区或办公地点或其他地点使用，并由企业充值余额支付的场景。（该场景需与事业部一事一议）</w:t>
      </w:r>
    </w:p>
    <w:p w14:paraId="1E01327D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2.2 方案详述（仅簿记账户）</w:t>
      </w:r>
    </w:p>
    <w:p w14:paraId="2EFAB3B6" w14:textId="77777777" w:rsidR="001D4668" w:rsidRPr="001D4668" w:rsidRDefault="001D4668" w:rsidP="001D4668">
      <w:pPr>
        <w:widowControl/>
        <w:spacing w:beforeLines="50" w:before="163" w:line="240" w:lineRule="auto"/>
        <w:jc w:val="left"/>
        <w:rPr>
          <w:rFonts w:ascii="宋体" w:eastAsia="宋体" w:hAnsi="宋体" w:cs="宋体"/>
          <w:b/>
          <w:bCs/>
          <w:color w:val="C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bCs/>
          <w:color w:val="C00000"/>
          <w:kern w:val="0"/>
          <w:sz w:val="22"/>
          <w:szCs w:val="22"/>
        </w:rPr>
        <w:t>接口指引：【腾讯文档】预充值模式充电桩对接指引</w:t>
      </w:r>
    </w:p>
    <w:p w14:paraId="62CD1FD6" w14:textId="77777777" w:rsidR="001D4668" w:rsidRPr="001D4668" w:rsidRDefault="00646831" w:rsidP="001D4668">
      <w:pPr>
        <w:widowControl/>
        <w:spacing w:beforeLines="50" w:before="163" w:line="240" w:lineRule="auto"/>
        <w:jc w:val="left"/>
        <w:rPr>
          <w:rFonts w:ascii="等线" w:eastAsia="等线" w:hAnsi="等线" w:cs="Times New Roman"/>
          <w:color w:val="C00000"/>
          <w:sz w:val="21"/>
          <w:szCs w:val="22"/>
          <w:u w:val="single"/>
          <w14:ligatures w14:val="standardContextual"/>
        </w:rPr>
      </w:pPr>
      <w:hyperlink r:id="rId8" w:history="1">
        <w:r w:rsidR="001D4668" w:rsidRPr="001D4668">
          <w:rPr>
            <w:rFonts w:ascii="宋体" w:eastAsia="宋体" w:hAnsi="宋体" w:cs="宋体" w:hint="eastAsia"/>
            <w:color w:val="C00000"/>
            <w:sz w:val="21"/>
            <w:szCs w:val="22"/>
            <w:u w:val="single"/>
            <w14:ligatures w14:val="standardContextual"/>
          </w:rPr>
          <w:t>https://docs.qq.com/sheet/DUUlUSHZ5QmR5bG9n?tab=BB08J2</w:t>
        </w:r>
      </w:hyperlink>
    </w:p>
    <w:p w14:paraId="724B42F5" w14:textId="77777777" w:rsidR="001D4668" w:rsidRPr="001D4668" w:rsidRDefault="001D4668" w:rsidP="001D4668">
      <w:pPr>
        <w:keepNext/>
        <w:keepLines/>
        <w:spacing w:before="280" w:after="290" w:line="372" w:lineRule="auto"/>
        <w:outlineLvl w:val="3"/>
        <w:rPr>
          <w:rFonts w:ascii="Arial" w:eastAsia="黑体" w:hAnsi="Arial" w:cs="Times New Roman"/>
          <w:b/>
          <w:szCs w:val="21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Cs w:val="21"/>
          <w14:ligatures w14:val="standardContextual"/>
        </w:rPr>
        <w:t>2.2.1普通消费场景（先付后退）</w:t>
      </w:r>
    </w:p>
    <w:p w14:paraId="4C54B8A0" w14:textId="77777777" w:rsidR="001D4668" w:rsidRPr="001D4668" w:rsidRDefault="001D4668" w:rsidP="001D4668">
      <w:pPr>
        <w:widowControl/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消费者消费：消费者下单时，调用</w:t>
      </w:r>
      <w:hyperlink r:id="rId9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【担保消费申请】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，预付资金进平台担保户，并记录收款会员应收款；</w:t>
      </w:r>
    </w:p>
    <w:p w14:paraId="693BA345" w14:textId="77777777" w:rsidR="001D4668" w:rsidRPr="001D4668" w:rsidRDefault="001D4668" w:rsidP="001D4668">
      <w:pPr>
        <w:widowControl/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确认订单（仅“快捷支付”需调用）：服务完成，平台确认消费金额，调用</w:t>
      </w:r>
      <w:hyperlink r:id="rId10" w:history="1">
        <w:r w:rsidRPr="001D4668">
          <w:rPr>
            <w:rFonts w:ascii="宋体" w:eastAsia="宋体" w:hAnsi="宋体" w:cs="宋体" w:hint="eastAsia"/>
            <w:color w:val="000000"/>
            <w:kern w:val="0"/>
            <w:sz w:val="22"/>
            <w:szCs w:val="22"/>
            <w:u w:val="single"/>
          </w:rPr>
          <w:t>【</w:t>
        </w:r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确认支付（后台+短信）</w:t>
        </w:r>
        <w:r w:rsidRPr="001D4668">
          <w:rPr>
            <w:rFonts w:ascii="宋体" w:eastAsia="宋体" w:hAnsi="宋体" w:cs="宋体" w:hint="eastAsia"/>
            <w:color w:val="000000"/>
            <w:kern w:val="0"/>
            <w:sz w:val="22"/>
            <w:szCs w:val="22"/>
            <w:u w:val="single"/>
          </w:rPr>
          <w:t>】</w:t>
        </w:r>
      </w:hyperlink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；</w:t>
      </w:r>
    </w:p>
    <w:p w14:paraId="2FF38368" w14:textId="77777777" w:rsidR="001D4668" w:rsidRPr="001D4668" w:rsidRDefault="001D4668" w:rsidP="001D4668">
      <w:pPr>
        <w:widowControl/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到达账期：调用</w:t>
      </w:r>
      <w:hyperlink r:id="rId11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【单订单担保确认】/【但会员担保确认】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将对应金额的资金担保确认至各收款会员的簿记账户，如有分账则按分账规则进行分账;</w:t>
      </w:r>
    </w:p>
    <w:p w14:paraId="2C04F17E" w14:textId="77777777" w:rsidR="001D4668" w:rsidRPr="001D4668" w:rsidRDefault="001D4668" w:rsidP="001D4668">
      <w:pPr>
        <w:widowControl/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退款或部分退款：调用</w:t>
      </w:r>
      <w:hyperlink r:id="rId12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【退款申请】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多出的差额部分进行原路退款；</w:t>
      </w:r>
    </w:p>
    <w:p w14:paraId="54B137E7" w14:textId="77777777" w:rsidR="001D4668" w:rsidRPr="001D4668" w:rsidRDefault="001D4668" w:rsidP="001D4668">
      <w:pPr>
        <w:widowControl/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会员提现：收款会员与各分账会员通过调用</w:t>
      </w:r>
      <w:hyperlink r:id="rId13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【提现申请】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将对应簿记账户余额资金提现至银行账户。</w:t>
      </w:r>
    </w:p>
    <w:p w14:paraId="2DBA7D8C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注：若使用微信支付分，则调用【</w:t>
      </w:r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担保消费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】/【</w:t>
      </w:r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消费申请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】前，需调用</w:t>
      </w:r>
      <w:hyperlink r:id="rId14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【微信支付分服务单管理（间联模式）</w:t>
        </w:r>
        <w:r w:rsidRPr="001D4668">
          <w:rPr>
            <w:rFonts w:ascii="宋体" w:eastAsia="宋体" w:hAnsi="宋体" w:cs="宋体" w:hint="eastAsia"/>
            <w:color w:val="000000"/>
            <w:kern w:val="0"/>
            <w:sz w:val="22"/>
            <w:szCs w:val="22"/>
            <w:u w:val="single"/>
          </w:rPr>
          <w:t>】</w:t>
        </w:r>
      </w:hyperlink>
    </w:p>
    <w:p w14:paraId="666F3B86" w14:textId="77777777" w:rsidR="001D4668" w:rsidRPr="001D4668" w:rsidRDefault="001D4668" w:rsidP="001D4668">
      <w:pPr>
        <w:keepNext/>
        <w:keepLines/>
        <w:spacing w:before="280" w:after="290" w:line="372" w:lineRule="auto"/>
        <w:outlineLvl w:val="3"/>
        <w:rPr>
          <w:rFonts w:ascii="宋体" w:eastAsia="宋体" w:hAnsi="宋体" w:cs="宋体"/>
          <w:b/>
          <w:szCs w:val="21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Cs w:val="21"/>
          <w14:ligatures w14:val="standardContextual"/>
        </w:rPr>
        <w:lastRenderedPageBreak/>
        <w:t>2.2.2充值场景</w:t>
      </w:r>
    </w:p>
    <w:p w14:paraId="544B7173" w14:textId="77777777" w:rsidR="001D4668" w:rsidRPr="001D4668" w:rsidRDefault="001D4668" w:rsidP="001D4668">
      <w:pPr>
        <w:keepNext/>
        <w:keepLines/>
        <w:numPr>
          <w:ilvl w:val="0"/>
          <w:numId w:val="3"/>
        </w:numPr>
        <w:spacing w:before="280" w:after="290" w:line="372" w:lineRule="auto"/>
        <w:outlineLvl w:val="4"/>
        <w:rPr>
          <w:rFonts w:ascii="宋体" w:eastAsia="宋体" w:hAnsi="宋体" w:cs="宋体"/>
          <w:b/>
          <w:sz w:val="2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22"/>
          <w:szCs w:val="22"/>
          <w14:ligatures w14:val="standardContextual"/>
        </w:rPr>
        <w:t>个人消费者充值</w:t>
      </w:r>
    </w:p>
    <w:p w14:paraId="6D4C2696" w14:textId="77777777" w:rsidR="001D4668" w:rsidRPr="001D4668" w:rsidRDefault="001D4668" w:rsidP="001D4668">
      <w:pPr>
        <w:widowControl/>
        <w:numPr>
          <w:ilvl w:val="0"/>
          <w:numId w:val="4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个人充值：个人消费者充值，调用</w:t>
      </w:r>
      <w:hyperlink r:id="rId15" w:history="1">
        <w:r w:rsidRPr="001D4668">
          <w:rPr>
            <w:rFonts w:ascii="宋体" w:eastAsia="宋体" w:hAnsi="宋体" w:cs="宋体" w:hint="eastAsia"/>
            <w:color w:val="000000"/>
            <w:kern w:val="0"/>
            <w:sz w:val="22"/>
            <w:szCs w:val="22"/>
            <w:u w:val="single"/>
          </w:rPr>
          <w:t>【</w:t>
        </w:r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充值申请</w:t>
        </w:r>
        <w:r w:rsidRPr="001D4668">
          <w:rPr>
            <w:rFonts w:ascii="宋体" w:eastAsia="宋体" w:hAnsi="宋体" w:cs="宋体" w:hint="eastAsia"/>
            <w:color w:val="000000"/>
            <w:kern w:val="0"/>
            <w:sz w:val="22"/>
            <w:szCs w:val="22"/>
            <w:u w:val="single"/>
          </w:rPr>
          <w:t>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，限额500元，资金进入平台储值账户（该储值账户资金不支持平台提现）</w:t>
      </w:r>
    </w:p>
    <w:p w14:paraId="1D713238" w14:textId="77777777" w:rsidR="001D4668" w:rsidRPr="001D4668" w:rsidRDefault="001D4668" w:rsidP="001D4668">
      <w:pPr>
        <w:widowControl/>
        <w:numPr>
          <w:ilvl w:val="0"/>
          <w:numId w:val="4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资金核销：平台调用</w:t>
      </w:r>
      <w:hyperlink r:id="rId16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【储值卡订单核销】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平台储值资金管理专户资金核销结算至收款方列表，如需分账，则根据分账规则，分账至对应的分账方。</w:t>
      </w:r>
    </w:p>
    <w:p w14:paraId="1AA04D36" w14:textId="77777777" w:rsidR="001D4668" w:rsidRPr="001D4668" w:rsidRDefault="001D4668" w:rsidP="001D4668">
      <w:pPr>
        <w:widowControl/>
        <w:numPr>
          <w:ilvl w:val="0"/>
          <w:numId w:val="4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会员提现：收款会员与各分账会员通过调用</w:t>
      </w:r>
      <w:hyperlink r:id="rId17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【提现申请】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将对应簿记账户余额资金提现至银行账户。</w:t>
      </w:r>
    </w:p>
    <w:p w14:paraId="12BED34E" w14:textId="77777777" w:rsidR="001D4668" w:rsidRPr="001D4668" w:rsidRDefault="001D4668" w:rsidP="001D4668">
      <w:pPr>
        <w:keepNext/>
        <w:keepLines/>
        <w:numPr>
          <w:ilvl w:val="0"/>
          <w:numId w:val="3"/>
        </w:numPr>
        <w:spacing w:before="280" w:after="290" w:line="372" w:lineRule="auto"/>
        <w:outlineLvl w:val="4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sz w:val="22"/>
          <w:szCs w:val="22"/>
          <w14:ligatures w14:val="standardContextual"/>
        </w:rPr>
        <w:t>企业充值</w:t>
      </w:r>
    </w:p>
    <w:p w14:paraId="3DBD2423" w14:textId="77777777" w:rsidR="001D4668" w:rsidRPr="001D4668" w:rsidRDefault="001D4668" w:rsidP="001D4668">
      <w:pPr>
        <w:widowControl/>
        <w:numPr>
          <w:ilvl w:val="0"/>
          <w:numId w:val="5"/>
        </w:numPr>
        <w:spacing w:line="240" w:lineRule="auto"/>
        <w:jc w:val="left"/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企业充值（线下打款）：企业与平台达成合作后，通过线下汇款至平台银行账户，平台同名对公户再汇款至通联，由通联给平台储值资金管理专户上账。（平台储值资金管理专户系统控制不支持提现）</w:t>
      </w:r>
    </w:p>
    <w:p w14:paraId="1C203386" w14:textId="77777777" w:rsidR="001D4668" w:rsidRPr="001D4668" w:rsidRDefault="001D4668" w:rsidP="001D4668">
      <w:pPr>
        <w:widowControl/>
        <w:numPr>
          <w:ilvl w:val="0"/>
          <w:numId w:val="5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资金核销：平台调用</w:t>
      </w:r>
      <w:hyperlink r:id="rId18" w:history="1">
        <w:r w:rsidRPr="001D4668">
          <w:rPr>
            <w:rFonts w:ascii="宋体" w:eastAsia="宋体" w:hAnsi="宋体" w:cs="宋体" w:hint="eastAsia"/>
            <w:b/>
            <w:color w:val="000000"/>
            <w:kern w:val="0"/>
            <w:sz w:val="22"/>
            <w:szCs w:val="22"/>
            <w:u w:val="single"/>
          </w:rPr>
          <w:t>【储值卡订单核销】</w:t>
        </w:r>
      </w:hyperlink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平台储值资金管理专户资金核销结算至收款方列表，如需分账，则根据分账规则，分账至对应的分账方。</w:t>
      </w:r>
    </w:p>
    <w:p w14:paraId="1A65693C" w14:textId="77777777" w:rsidR="001D4668" w:rsidRPr="001D4668" w:rsidRDefault="001D4668" w:rsidP="001D4668">
      <w:pPr>
        <w:widowControl/>
        <w:numPr>
          <w:ilvl w:val="0"/>
          <w:numId w:val="5"/>
        </w:numPr>
        <w:spacing w:line="240" w:lineRule="auto"/>
        <w:jc w:val="left"/>
        <w:rPr>
          <w:rFonts w:ascii="宋体" w:eastAsia="宋体" w:hAnsi="宋体" w:cs="宋体"/>
          <w:b/>
          <w:color w:val="0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会员提现：收款会员与各分账会员通过调用</w:t>
      </w:r>
      <w:r w:rsidRPr="001D4668">
        <w:rPr>
          <w:rFonts w:ascii="宋体" w:eastAsia="宋体" w:hAnsi="宋体" w:cs="宋体" w:hint="eastAsia"/>
          <w:b/>
          <w:color w:val="000000"/>
          <w:kern w:val="0"/>
          <w:sz w:val="22"/>
          <w:szCs w:val="22"/>
        </w:rPr>
        <w:t>【提现申请】接口，</w:t>
      </w:r>
      <w:r w:rsidRPr="001D4668">
        <w:rPr>
          <w:rFonts w:ascii="宋体" w:eastAsia="宋体" w:hAnsi="宋体" w:cs="宋体" w:hint="eastAsia"/>
          <w:color w:val="000000"/>
          <w:kern w:val="0"/>
          <w:sz w:val="22"/>
          <w:szCs w:val="22"/>
        </w:rPr>
        <w:t>将对应簿记账户余额资金提现至银行账户。</w:t>
      </w:r>
    </w:p>
    <w:p w14:paraId="3F82D633" w14:textId="77777777" w:rsidR="001D4668" w:rsidRPr="001D4668" w:rsidRDefault="001D4668" w:rsidP="001D4668">
      <w:pPr>
        <w:keepNext/>
        <w:keepLines/>
        <w:spacing w:before="260" w:after="260" w:line="412" w:lineRule="auto"/>
        <w:outlineLvl w:val="1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3. 业务入网流程</w:t>
      </w:r>
    </w:p>
    <w:p w14:paraId="19602D3C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3.1 接入流程总述</w:t>
      </w:r>
    </w:p>
    <w:p w14:paraId="19B40DF2" w14:textId="77777777" w:rsidR="001D4668" w:rsidRPr="001D4668" w:rsidRDefault="001D4668" w:rsidP="001D4668">
      <w:pPr>
        <w:widowControl/>
        <w:spacing w:line="240" w:lineRule="auto"/>
        <w:ind w:firstLine="420"/>
        <w:jc w:val="left"/>
        <w:rPr>
          <w:rFonts w:ascii="宋体" w:eastAsia="宋体" w:hAnsi="宋体" w:cs="宋体"/>
          <w:b/>
          <w:bCs/>
          <w:color w:val="C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bCs/>
          <w:color w:val="C00000"/>
          <w:kern w:val="0"/>
          <w:sz w:val="22"/>
          <w:szCs w:val="22"/>
        </w:rPr>
        <w:t>云商通二代账户版接入指引：https://isv-test.allinpay.com/doc/628/</w:t>
      </w:r>
    </w:p>
    <w:p w14:paraId="2B87CAC4" w14:textId="77777777" w:rsidR="001D4668" w:rsidRPr="001D4668" w:rsidRDefault="001D4668" w:rsidP="001D4668">
      <w:pPr>
        <w:widowControl/>
        <w:ind w:firstLine="420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lastRenderedPageBreak/>
        <w:t>“融易充”是基于云商通二代的标准行业解决方案，不涉及行业应用产品搭建，仍使用云商通标准协议</w:t>
      </w:r>
      <w:r w:rsidRPr="001D4668">
        <w:rPr>
          <w:rFonts w:ascii="宋体" w:eastAsia="宋体" w:hAnsi="宋体" w:cs="宋体" w:hint="eastAsia"/>
          <w:color w:val="C00000"/>
          <w:sz w:val="21"/>
          <w:szCs w:val="22"/>
          <w14:ligatures w14:val="standardContextual"/>
        </w:rPr>
        <w:t>（无行业版协议）</w:t>
      </w: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：</w:t>
      </w:r>
    </w:p>
    <w:p w14:paraId="137A907B" w14:textId="77777777" w:rsidR="001D4668" w:rsidRPr="001D4668" w:rsidRDefault="001D4668" w:rsidP="001D4668">
      <w:pPr>
        <w:widowControl/>
        <w:numPr>
          <w:ilvl w:val="0"/>
          <w:numId w:val="6"/>
        </w:numPr>
        <w:spacing w:line="240" w:lineRule="auto"/>
        <w:rPr>
          <w:rFonts w:ascii="等线" w:eastAsia="等线" w:hAnsi="等线" w:cs="Times New Roman"/>
          <w:color w:val="000000"/>
          <w:kern w:val="0"/>
          <w:sz w:val="21"/>
          <w:szCs w:val="22"/>
          <w:u w:val="single"/>
          <w14:ligatures w14:val="standardContextual"/>
        </w:rPr>
      </w:pPr>
      <w:r w:rsidRPr="001D4668">
        <w:rPr>
          <w:rFonts w:ascii="宋体" w:eastAsia="宋体" w:hAnsi="宋体" w:cs="宋体" w:hint="eastAsia"/>
          <w:color w:val="000000"/>
          <w:sz w:val="21"/>
          <w:szCs w:val="22"/>
          <w:u w:val="single"/>
          <w14:ligatures w14:val="standardContextual"/>
        </w:rPr>
        <w:t>《基于大数据的商户服务平台系统服务协议（云商通协议）》</w:t>
      </w:r>
    </w:p>
    <w:p w14:paraId="600578E7" w14:textId="77777777" w:rsidR="001D4668" w:rsidRPr="001D4668" w:rsidRDefault="001D4668" w:rsidP="001D4668">
      <w:pPr>
        <w:widowControl/>
        <w:numPr>
          <w:ilvl w:val="0"/>
          <w:numId w:val="6"/>
        </w:numPr>
        <w:spacing w:line="240" w:lineRule="auto"/>
        <w:rPr>
          <w:rFonts w:ascii="等线" w:eastAsia="等线" w:hAnsi="等线" w:cs="Times New Roman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color w:val="000000"/>
          <w:sz w:val="21"/>
          <w:szCs w:val="22"/>
          <w:u w:val="single"/>
          <w14:ligatures w14:val="standardContextual"/>
        </w:rPr>
        <w:t>《通联支付网络支付业务合作协议》</w:t>
      </w:r>
    </w:p>
    <w:p w14:paraId="4CFC14ED" w14:textId="77777777" w:rsidR="001D4668" w:rsidRPr="001D4668" w:rsidRDefault="001D4668" w:rsidP="001D4668">
      <w:pPr>
        <w:keepNext/>
        <w:keepLines/>
        <w:spacing w:before="260" w:after="260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3.2商户入网</w:t>
      </w:r>
    </w:p>
    <w:p w14:paraId="7DBBAE39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b/>
          <w:bCs/>
          <w:color w:val="C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bCs/>
          <w:color w:val="C00000"/>
          <w:kern w:val="0"/>
          <w:sz w:val="22"/>
          <w:szCs w:val="22"/>
          <w:lang w:bidi="ar"/>
          <w14:ligatures w14:val="standardContextual"/>
        </w:rPr>
        <w:t>《云商通云商通二代产品开通操作手册》：</w:t>
      </w:r>
      <w:r w:rsidRPr="001D4668">
        <w:rPr>
          <w:rFonts w:ascii="宋体" w:eastAsia="宋体" w:hAnsi="宋体" w:cs="宋体" w:hint="eastAsia"/>
          <w:b/>
          <w:bCs/>
          <w:color w:val="C00000"/>
          <w:kern w:val="0"/>
          <w:sz w:val="22"/>
          <w:szCs w:val="22"/>
          <w:u w:val="single"/>
        </w:rPr>
        <w:t>https://isv-test.allinpay.com/doc/842/</w:t>
      </w:r>
    </w:p>
    <w:p w14:paraId="2417B0A7" w14:textId="77777777" w:rsidR="001D4668" w:rsidRPr="001D4668" w:rsidRDefault="001D4668" w:rsidP="001D4668">
      <w:pPr>
        <w:widowControl/>
        <w:jc w:val="left"/>
        <w:rPr>
          <w:rFonts w:ascii="宋体" w:eastAsia="宋体" w:hAnsi="宋体" w:cs="宋体"/>
          <w:b/>
          <w:bCs/>
          <w:color w:val="C00000"/>
          <w:kern w:val="0"/>
          <w:sz w:val="22"/>
          <w:szCs w:val="22"/>
        </w:rPr>
      </w:pPr>
      <w:r w:rsidRPr="001D4668">
        <w:rPr>
          <w:rFonts w:ascii="宋体" w:eastAsia="宋体" w:hAnsi="宋体" w:cs="宋体" w:hint="eastAsia"/>
          <w:b/>
          <w:bCs/>
          <w:color w:val="C00000"/>
          <w:kern w:val="0"/>
          <w:sz w:val="22"/>
          <w:szCs w:val="22"/>
        </w:rPr>
        <w:t>3.5 账户产品（行业版产品及KA客户）开通操作说明</w:t>
      </w:r>
    </w:p>
    <w:p w14:paraId="3BE0B888" w14:textId="77777777" w:rsidR="001D4668" w:rsidRPr="001D4668" w:rsidRDefault="001D4668" w:rsidP="001D4668">
      <w:pPr>
        <w:widowControl/>
        <w:rPr>
          <w:rFonts w:ascii="宋体" w:eastAsia="宋体" w:hAnsi="宋体" w:cs="宋体"/>
          <w:b/>
          <w:bCs/>
          <w:color w:val="C00000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bCs/>
          <w:color w:val="C00000"/>
          <w:sz w:val="21"/>
          <w:szCs w:val="22"/>
          <w14:ligatures w14:val="standardContextual"/>
        </w:rPr>
        <w:t>注：开通账户产品时，务必选择“行业版产品-融易充”</w:t>
      </w:r>
    </w:p>
    <w:p w14:paraId="37140649" w14:textId="77777777" w:rsidR="001D4668" w:rsidRPr="001D4668" w:rsidRDefault="001D4668" w:rsidP="001D4668">
      <w:pPr>
        <w:widowControl/>
        <w:ind w:firstLine="420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首先入网主体在统一客户注册，申请开通“账户产品--行业版产品融易充”，选择需要开通的产品、填写相关资料，进行开通即可。</w:t>
      </w:r>
    </w:p>
    <w:p w14:paraId="1641DFEF" w14:textId="77777777" w:rsidR="001D4668" w:rsidRPr="001D4668" w:rsidRDefault="001D4668" w:rsidP="001D4668">
      <w:pPr>
        <w:widowControl/>
        <w:ind w:firstLine="420"/>
        <w:rPr>
          <w:rFonts w:ascii="宋体" w:eastAsia="宋体" w:hAnsi="宋体" w:cs="宋体"/>
          <w:color w:val="C00000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Cs/>
          <w:color w:val="222222"/>
          <w:sz w:val="21"/>
          <w:szCs w:val="22"/>
          <w:shd w:val="clear" w:color="auto" w:fill="FFFFFF"/>
          <w14:ligatures w14:val="standardContextual"/>
        </w:rPr>
        <w:t>除云商通二代标准入网材料外，云商通业务支撑流程中，</w:t>
      </w:r>
      <w:r w:rsidRPr="001D4668">
        <w:rPr>
          <w:rFonts w:ascii="宋体" w:eastAsia="宋体" w:hAnsi="宋体" w:cs="宋体" w:hint="eastAsia"/>
          <w:bCs/>
          <w:color w:val="C00000"/>
          <w:sz w:val="21"/>
          <w:szCs w:val="22"/>
          <w:shd w:val="clear" w:color="auto" w:fill="FFFFFF"/>
          <w14:ligatures w14:val="standardContextual"/>
        </w:rPr>
        <w:t>务必提供如下业务辅助证明材料，加速审批流程，避免多次退回。</w:t>
      </w:r>
    </w:p>
    <w:tbl>
      <w:tblPr>
        <w:tblStyle w:val="1"/>
        <w:tblW w:w="7909" w:type="dxa"/>
        <w:jc w:val="center"/>
        <w:tblInd w:w="0" w:type="dxa"/>
        <w:tblLook w:val="04A0" w:firstRow="1" w:lastRow="0" w:firstColumn="1" w:lastColumn="0" w:noHBand="0" w:noVBand="1"/>
      </w:tblPr>
      <w:tblGrid>
        <w:gridCol w:w="1480"/>
        <w:gridCol w:w="1463"/>
        <w:gridCol w:w="4966"/>
      </w:tblGrid>
      <w:tr w:rsidR="001D4668" w:rsidRPr="001D4668" w14:paraId="3FCDB363" w14:textId="77777777" w:rsidTr="001D4668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9D40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角色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A0C1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业务材料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D35F" w14:textId="77777777" w:rsidR="001D4668" w:rsidRPr="001D4668" w:rsidRDefault="001D4668" w:rsidP="001D4668">
            <w:pPr>
              <w:ind w:firstLine="360"/>
              <w:jc w:val="center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说明</w:t>
            </w:r>
          </w:p>
        </w:tc>
      </w:tr>
      <w:tr w:rsidR="001D4668" w:rsidRPr="001D4668" w14:paraId="75ED96C4" w14:textId="77777777" w:rsidTr="001D4668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A891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平台方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A715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业务流程说明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9363" w14:textId="77777777" w:rsidR="001D4668" w:rsidRPr="001D4668" w:rsidRDefault="001D4668" w:rsidP="001D4668">
            <w:pPr>
              <w:numPr>
                <w:ilvl w:val="0"/>
                <w:numId w:val="7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已投产应用：需提供小程序/公众号/APP名称、界面截图、消费和充值视频；</w:t>
            </w:r>
          </w:p>
          <w:p w14:paraId="552B3719" w14:textId="77777777" w:rsidR="001D4668" w:rsidRPr="001D4668" w:rsidRDefault="001D4668" w:rsidP="001D4668">
            <w:pPr>
              <w:numPr>
                <w:ilvl w:val="0"/>
                <w:numId w:val="7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未投产应用：需提供小程序/公众号/APP名称、设计原型图、测试环境消费和充值视频；</w:t>
            </w:r>
          </w:p>
        </w:tc>
      </w:tr>
      <w:tr w:rsidR="001D4668" w:rsidRPr="001D4668" w14:paraId="0D2DFE65" w14:textId="77777777" w:rsidTr="001D4668">
        <w:trPr>
          <w:trHeight w:val="3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D17E" w14:textId="77777777" w:rsidR="001D4668" w:rsidRPr="001D4668" w:rsidRDefault="001D4668" w:rsidP="001D4668">
            <w:p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A504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品牌商标注册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6EA" w14:textId="77777777" w:rsidR="001D4668" w:rsidRPr="001D4668" w:rsidRDefault="001D4668" w:rsidP="001D4668">
            <w:pPr>
              <w:ind w:firstLine="360"/>
              <w:jc w:val="center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务必提供品牌商标注册信息，如未注册、注册中请说明原因，待上线时提供。</w:t>
            </w:r>
          </w:p>
        </w:tc>
      </w:tr>
      <w:tr w:rsidR="001D4668" w:rsidRPr="001D4668" w14:paraId="2C1A082A" w14:textId="77777777" w:rsidTr="001D4668">
        <w:trPr>
          <w:trHeight w:val="3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24EF" w14:textId="77777777" w:rsidR="001D4668" w:rsidRPr="001D4668" w:rsidRDefault="001D4668" w:rsidP="001D4668">
            <w:p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C029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资金链路说明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CED8" w14:textId="77777777" w:rsidR="001D4668" w:rsidRPr="001D4668" w:rsidRDefault="001D4668" w:rsidP="001D4668">
            <w:pPr>
              <w:ind w:firstLine="360"/>
              <w:jc w:val="center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需提供完整资金链路图或说明，罗列所有分账角色</w:t>
            </w:r>
          </w:p>
        </w:tc>
      </w:tr>
      <w:tr w:rsidR="001D4668" w:rsidRPr="001D4668" w14:paraId="5739A9CE" w14:textId="77777777" w:rsidTr="001D466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08F9" w14:textId="77777777" w:rsidR="001D4668" w:rsidRPr="001D4668" w:rsidRDefault="001D4668" w:rsidP="001D4668">
            <w:p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30DF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场景图片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8A96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需提供线下站点拍摄图片，需包含品牌方logo露出的充电桩场站、车辆停放场站等拍摄图片</w:t>
            </w:r>
          </w:p>
        </w:tc>
      </w:tr>
      <w:tr w:rsidR="001D4668" w:rsidRPr="001D4668" w14:paraId="1C86936C" w14:textId="77777777" w:rsidTr="001D4668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33DA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收款方/分账方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213E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业务协议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0258" w14:textId="77777777" w:rsidR="001D4668" w:rsidRPr="001D4668" w:rsidRDefault="001D4668" w:rsidP="001D4668">
            <w:pPr>
              <w:numPr>
                <w:ilvl w:val="0"/>
                <w:numId w:val="8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自营模式：提供所有合作方与平台（收单入网主体）的业务协议，协议中必须明确各方相关的运营工作和承担的权责，协议列表如下：</w:t>
            </w:r>
          </w:p>
          <w:p w14:paraId="3234B400" w14:textId="77777777" w:rsidR="001D4668" w:rsidRPr="001D4668" w:rsidRDefault="001D4668" w:rsidP="001D4668">
            <w:pPr>
              <w:numPr>
                <w:ilvl w:val="0"/>
                <w:numId w:val="9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平台方-运营服务方(企业/个人)合作协议</w:t>
            </w:r>
          </w:p>
          <w:p w14:paraId="2AEA2929" w14:textId="77777777" w:rsidR="001D4668" w:rsidRPr="001D4668" w:rsidRDefault="001D4668" w:rsidP="001D4668">
            <w:pPr>
              <w:numPr>
                <w:ilvl w:val="0"/>
                <w:numId w:val="9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平台方-场地提供方(企业/个人)合作协议</w:t>
            </w:r>
          </w:p>
          <w:p w14:paraId="7439D678" w14:textId="77777777" w:rsidR="001D4668" w:rsidRPr="001D4668" w:rsidRDefault="001D4668" w:rsidP="001D4668">
            <w:pPr>
              <w:numPr>
                <w:ilvl w:val="0"/>
                <w:numId w:val="9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平台方-设备提供方(企业/个人)合作协议</w:t>
            </w:r>
          </w:p>
          <w:p w14:paraId="69E5ABDB" w14:textId="77777777" w:rsidR="001D4668" w:rsidRPr="001D4668" w:rsidRDefault="001D4668" w:rsidP="001D4668">
            <w:pPr>
              <w:numPr>
                <w:ilvl w:val="0"/>
                <w:numId w:val="9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其他合作方协议</w:t>
            </w:r>
          </w:p>
          <w:p w14:paraId="2AFEF0EA" w14:textId="77777777" w:rsidR="001D4668" w:rsidRPr="001D4668" w:rsidRDefault="001D4668" w:rsidP="001D4668">
            <w:pPr>
              <w:numPr>
                <w:ilvl w:val="0"/>
                <w:numId w:val="8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加盟模式：提供所有加盟商与平台（收单入网主体）的业务协议，协议必须符合品牌加盟模式，明确加盟商运营工作和承担的权责，协议列表如下：</w:t>
            </w:r>
          </w:p>
          <w:p w14:paraId="116CFA42" w14:textId="77777777" w:rsidR="001D4668" w:rsidRPr="001D4668" w:rsidRDefault="001D4668" w:rsidP="001D4668">
            <w:pPr>
              <w:numPr>
                <w:ilvl w:val="0"/>
                <w:numId w:val="10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平台方-加盟商(企业/)加盟协议</w:t>
            </w:r>
          </w:p>
          <w:p w14:paraId="1CC960C3" w14:textId="77777777" w:rsidR="001D4668" w:rsidRPr="001D4668" w:rsidRDefault="001D4668" w:rsidP="001D4668">
            <w:pPr>
              <w:numPr>
                <w:ilvl w:val="0"/>
                <w:numId w:val="10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加盟商-场地提供方(企业/个人)合作协议</w:t>
            </w:r>
          </w:p>
          <w:p w14:paraId="7491E7D0" w14:textId="77777777" w:rsidR="001D4668" w:rsidRPr="001D4668" w:rsidRDefault="001D4668" w:rsidP="001D4668">
            <w:pPr>
              <w:numPr>
                <w:ilvl w:val="0"/>
                <w:numId w:val="10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加盟商-设备提供方(企业/个人)合作协议</w:t>
            </w:r>
          </w:p>
          <w:p w14:paraId="1C7701A3" w14:textId="77777777" w:rsidR="001D4668" w:rsidRPr="001D4668" w:rsidRDefault="001D4668" w:rsidP="001D4668">
            <w:pPr>
              <w:numPr>
                <w:ilvl w:val="0"/>
                <w:numId w:val="10"/>
              </w:numPr>
              <w:tabs>
                <w:tab w:val="left" w:pos="420"/>
              </w:tabs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14:ligatures w14:val="standardContextual"/>
              </w:rPr>
              <w:t>其他合作方协议</w:t>
            </w:r>
          </w:p>
        </w:tc>
      </w:tr>
      <w:tr w:rsidR="001D4668" w:rsidRPr="001D4668" w14:paraId="5B9882A0" w14:textId="77777777" w:rsidTr="001D466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5B77" w14:textId="77777777" w:rsidR="001D4668" w:rsidRPr="001D4668" w:rsidRDefault="001D4668" w:rsidP="001D4668">
            <w:p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DE24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佐证材料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D2F0" w14:textId="77777777" w:rsidR="001D4668" w:rsidRPr="001D4668" w:rsidRDefault="001D4668" w:rsidP="001D4668">
            <w:pPr>
              <w:numPr>
                <w:ilvl w:val="0"/>
                <w:numId w:val="11"/>
              </w:num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个人会员：如涉及到个人合作方提现、或个人提现提高额度，需提供商户在通联或其他渠道的历史交易等佐证材料，证明突破额度的合理性；</w:t>
            </w:r>
          </w:p>
          <w:p w14:paraId="2F89FC15" w14:textId="77777777" w:rsidR="001D4668" w:rsidRPr="001D4668" w:rsidRDefault="001D4668" w:rsidP="001D4668">
            <w:pPr>
              <w:numPr>
                <w:ilvl w:val="0"/>
                <w:numId w:val="11"/>
              </w:num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其他：如需突破行业解决方案默认限额，需提供商户在通联或其他渠道的历史交易，证明突破额度的合理性；</w:t>
            </w:r>
          </w:p>
        </w:tc>
      </w:tr>
      <w:tr w:rsidR="001D4668" w:rsidRPr="001D4668" w14:paraId="24D82E47" w14:textId="77777777" w:rsidTr="001D466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1B88" w14:textId="77777777" w:rsidR="001D4668" w:rsidRPr="001D4668" w:rsidRDefault="001D4668" w:rsidP="001D4668">
            <w:pPr>
              <w:spacing w:line="240" w:lineRule="auto"/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D6FE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其他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BD04" w14:textId="77777777" w:rsidR="001D4668" w:rsidRPr="001D4668" w:rsidRDefault="001D4668" w:rsidP="001D4668">
            <w:pPr>
              <w:rPr>
                <w:rFonts w:ascii="宋体" w:eastAsia="宋体" w:hAnsi="宋体" w:cs="宋体"/>
                <w:kern w:val="0"/>
                <w:sz w:val="18"/>
                <w:szCs w:val="28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kern w:val="0"/>
                <w:sz w:val="18"/>
                <w:szCs w:val="28"/>
                <w14:ligatures w14:val="standardContextual"/>
              </w:rPr>
              <w:t>如需突破其他非标，需一事一议</w:t>
            </w:r>
          </w:p>
        </w:tc>
      </w:tr>
    </w:tbl>
    <w:p w14:paraId="14741BE2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lastRenderedPageBreak/>
        <w:t>3.3 接口对接列表</w:t>
      </w:r>
    </w:p>
    <w:tbl>
      <w:tblPr>
        <w:tblW w:w="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1134"/>
        <w:gridCol w:w="1418"/>
        <w:gridCol w:w="3827"/>
      </w:tblGrid>
      <w:tr w:rsidR="001D4668" w:rsidRPr="001D4668" w14:paraId="540DF3FC" w14:textId="77777777" w:rsidTr="001D4668">
        <w:trPr>
          <w:trHeight w:val="393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E6885" w14:textId="77777777" w:rsidR="001D4668" w:rsidRPr="001D4668" w:rsidRDefault="001D4668" w:rsidP="001D4668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22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业务场景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C91BA" w14:textId="77777777" w:rsidR="001D4668" w:rsidRPr="001D4668" w:rsidRDefault="001D4668" w:rsidP="001D4668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22"/>
                <w:lang w:eastAsia="zh-Hans"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22"/>
                <w:lang w:eastAsia="zh-Hans" w:bidi="ar"/>
                <w14:ligatures w14:val="standardContextual"/>
              </w:rPr>
              <w:t>子场景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7D7D" w14:textId="77777777" w:rsidR="001D4668" w:rsidRPr="001D4668" w:rsidRDefault="001D4668" w:rsidP="001D4668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18"/>
                <w:szCs w:val="22"/>
                <w:lang w:eastAsia="zh-Hans"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22"/>
                <w:lang w:eastAsia="zh-Hans" w:bidi="ar"/>
                <w14:ligatures w14:val="standardContextual"/>
              </w:rPr>
              <w:t>云商通</w:t>
            </w:r>
            <w:r w:rsidRPr="001D4668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二代接口</w:t>
            </w:r>
          </w:p>
        </w:tc>
      </w:tr>
      <w:tr w:rsidR="001D4668" w:rsidRPr="001D4668" w14:paraId="48831B23" w14:textId="77777777" w:rsidTr="001D4668">
        <w:trPr>
          <w:trHeight w:val="1461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5E0A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平台会员/收款会员/分账会员等角色创建（簿记账户）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C21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个人会员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471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个人会员开户、销户、更换手机号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5F65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【个人会员实名及绑卡（申请）】</w:t>
            </w:r>
          </w:p>
          <w:p w14:paraId="45CD881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【个人会员实名及绑卡（确认）】</w:t>
            </w:r>
          </w:p>
          <w:p w14:paraId="78EA0755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【会员解绑手机号（原手机号）申请】</w:t>
            </w:r>
          </w:p>
          <w:p w14:paraId="45283E3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【确认绑定/解绑手机号】</w:t>
            </w:r>
          </w:p>
          <w:p w14:paraId="33E6B073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【会员绑定手机号申请】</w:t>
            </w:r>
          </w:p>
          <w:p w14:paraId="340BECA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【确认绑定/解绑手机号】</w:t>
            </w:r>
          </w:p>
        </w:tc>
      </w:tr>
      <w:tr w:rsidR="001D4668" w:rsidRPr="001D4668" w14:paraId="3A075285" w14:textId="77777777" w:rsidTr="001D4668">
        <w:trPr>
          <w:trHeight w:val="972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DE56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7429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50D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</w:rPr>
              <w:t>签约关系证明函、账户提现协议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289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【会员线上协议签约申请】-薄记账户相关协议</w:t>
            </w:r>
          </w:p>
          <w:p w14:paraId="3EADC0F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【会员协议签约结果通知】</w:t>
            </w:r>
          </w:p>
          <w:p w14:paraId="2AD149C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【签约协议查看H5】</w:t>
            </w:r>
          </w:p>
        </w:tc>
      </w:tr>
      <w:tr w:rsidR="001D4668" w:rsidRPr="001D4668" w14:paraId="21A9D391" w14:textId="77777777" w:rsidTr="001D4668">
        <w:trPr>
          <w:trHeight w:val="646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9740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5168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企业会员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F6D9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</w:rPr>
              <w:t>企业会员开户（注册+设置角色+实名+绑定银行账户）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A43F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【企业会员实名开户】</w:t>
            </w:r>
          </w:p>
          <w:p w14:paraId="675ACE50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【企业会员簿记开户审核结果通知】</w:t>
            </w:r>
          </w:p>
        </w:tc>
      </w:tr>
      <w:tr w:rsidR="001D4668" w:rsidRPr="001D4668" w14:paraId="3754F16B" w14:textId="77777777" w:rsidTr="001D4668">
        <w:trPr>
          <w:trHeight w:val="698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28DC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A48D4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BCBE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</w:rPr>
              <w:t>企业会员影印件采集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82B0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【文件上传】</w:t>
            </w:r>
          </w:p>
          <w:p w14:paraId="3C8B869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【会员资料补录】</w:t>
            </w:r>
          </w:p>
          <w:p w14:paraId="4FB6EAA7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【会员资料补录结果通知】</w:t>
            </w:r>
          </w:p>
        </w:tc>
      </w:tr>
      <w:tr w:rsidR="001D4668" w:rsidRPr="001D4668" w14:paraId="7DD225AD" w14:textId="77777777" w:rsidTr="001D4668">
        <w:trPr>
          <w:trHeight w:val="566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6D29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AF30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907E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</w:rPr>
              <w:t>企业会员绑定法人卡（性质为个体户）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F34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【个人会员实名及绑卡（申请）】</w:t>
            </w:r>
          </w:p>
          <w:p w14:paraId="2B2321BD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【个人会员实名及绑卡（确认）】</w:t>
            </w:r>
          </w:p>
        </w:tc>
      </w:tr>
      <w:tr w:rsidR="001D4668" w:rsidRPr="001D4668" w14:paraId="0680A1C0" w14:textId="77777777" w:rsidTr="001D4668">
        <w:trPr>
          <w:trHeight w:val="546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4BC6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8A06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F0A3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</w:rPr>
              <w:t>企业会员绑定手机号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4945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【会员绑定手机号申请】</w:t>
            </w:r>
          </w:p>
          <w:p w14:paraId="7EC5D4C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【确认绑定/解绑手机号】</w:t>
            </w:r>
          </w:p>
        </w:tc>
      </w:tr>
      <w:tr w:rsidR="001D4668" w:rsidRPr="001D4668" w14:paraId="700000D0" w14:textId="77777777" w:rsidTr="001D4668">
        <w:trPr>
          <w:trHeight w:val="554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F2EF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666F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7F39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企业会员解绑手机号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C91D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【会员解绑手机号（原手机号）申请】</w:t>
            </w:r>
          </w:p>
          <w:p w14:paraId="76E2A5CF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【确认绑定/解绑手机号】接口</w:t>
            </w:r>
          </w:p>
        </w:tc>
      </w:tr>
      <w:tr w:rsidR="001D4668" w:rsidRPr="001D4668" w14:paraId="402474CA" w14:textId="77777777" w:rsidTr="001D4668">
        <w:trPr>
          <w:trHeight w:val="704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2D43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4D5C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C37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签约关系证明函、账户提现协议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E48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【确认绑定/解绑手机号】接口</w:t>
            </w:r>
          </w:p>
          <w:p w14:paraId="0762C90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【会员协议签约结果通知】</w:t>
            </w:r>
          </w:p>
          <w:p w14:paraId="73C74EB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【签约协议查看H5】</w:t>
            </w:r>
          </w:p>
        </w:tc>
      </w:tr>
      <w:tr w:rsidR="001D4668" w:rsidRPr="001D4668" w14:paraId="6A166A7B" w14:textId="77777777" w:rsidTr="001D4668">
        <w:trPr>
          <w:trHeight w:val="704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131D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个人/企业会员角色创建（电子账户）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D16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充值场景下，平台可无需记个人账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72FE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【个人会员实名及绑卡（申请）】</w:t>
            </w:r>
          </w:p>
          <w:p w14:paraId="01AA64AD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【个人会员实名及绑卡（确认）】</w:t>
            </w:r>
          </w:p>
          <w:p w14:paraId="00E4F1A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【企业会员支付账户开户】</w:t>
            </w:r>
          </w:p>
        </w:tc>
      </w:tr>
      <w:tr w:rsidR="001D4668" w:rsidRPr="001D4668" w14:paraId="6C791E14" w14:textId="77777777" w:rsidTr="001D4668">
        <w:trPr>
          <w:trHeight w:val="825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FDBF9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提现协议、收款协议、分账协议签约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D0C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21CE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【会员线上协议签约申请】</w:t>
            </w:r>
          </w:p>
          <w:p w14:paraId="59549D5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【线下协议文件上传】</w:t>
            </w:r>
          </w:p>
          <w:p w14:paraId="1E24498E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【会员协议签约结果通知】</w:t>
            </w:r>
          </w:p>
          <w:p w14:paraId="71267C3D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【查询会员信息】</w:t>
            </w:r>
          </w:p>
        </w:tc>
      </w:tr>
      <w:tr w:rsidR="001D4668" w:rsidRPr="001D4668" w14:paraId="2E193B71" w14:textId="77777777" w:rsidTr="001D4668">
        <w:trPr>
          <w:trHeight w:val="825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3D116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订单正反交易及分账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218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先付后退、先享后付、预充值场景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ADC8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【4006-支付分服务单管理】</w:t>
            </w:r>
          </w:p>
          <w:p w14:paraId="0422898F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【消费申请】</w:t>
            </w:r>
          </w:p>
          <w:p w14:paraId="3C03D365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【担保消费申请】</w:t>
            </w:r>
          </w:p>
          <w:p w14:paraId="79D1961D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【单订单担保确认】</w:t>
            </w:r>
          </w:p>
          <w:p w14:paraId="7878E139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【单会员担保确认】</w:t>
            </w:r>
          </w:p>
          <w:p w14:paraId="5065504D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【储值卡订单核销】</w:t>
            </w:r>
          </w:p>
          <w:p w14:paraId="59C678E8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【确认支付】</w:t>
            </w:r>
          </w:p>
        </w:tc>
      </w:tr>
      <w:tr w:rsidR="001D4668" w:rsidRPr="001D4668" w14:paraId="4AE06210" w14:textId="77777777" w:rsidTr="001D4668">
        <w:trPr>
          <w:trHeight w:val="84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A2BC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账户余额查询、充值、提现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4C7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C09A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【提现申请】</w:t>
            </w: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br/>
              <w:t>【划款入账通知】</w:t>
            </w: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br/>
              <w:t>【账户余额查询】</w:t>
            </w:r>
          </w:p>
          <w:p w14:paraId="79ABB23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【平台资金查询】</w:t>
            </w:r>
          </w:p>
        </w:tc>
      </w:tr>
      <w:tr w:rsidR="001D4668" w:rsidRPr="001D4668" w14:paraId="049311B7" w14:textId="77777777" w:rsidTr="001D4668">
        <w:trPr>
          <w:trHeight w:val="1191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ECC5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lastRenderedPageBreak/>
              <w:t>其它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045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交易退款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1B7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订单退款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2FC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【退款申请】</w:t>
            </w:r>
          </w:p>
          <w:p w14:paraId="64A0718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（1）支持对预充值的【充值申请】的消费订单退款</w:t>
            </w:r>
          </w:p>
          <w:p w14:paraId="7A2F5314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（2）支持对已核销的【储值卡订单核销】交易资金退款</w:t>
            </w:r>
          </w:p>
        </w:tc>
      </w:tr>
      <w:tr w:rsidR="001D4668" w:rsidRPr="001D4668" w14:paraId="7E01FBC0" w14:textId="77777777" w:rsidTr="001D4668">
        <w:trPr>
          <w:trHeight w:val="131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5F3E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851F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交易关闭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C790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订单关闭申请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95D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【订单关闭】</w:t>
            </w:r>
          </w:p>
        </w:tc>
      </w:tr>
      <w:tr w:rsidR="001D4668" w:rsidRPr="001D4668" w14:paraId="7825057F" w14:textId="77777777" w:rsidTr="001D4668">
        <w:trPr>
          <w:trHeight w:val="694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FBFF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3A3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订单管理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C60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订单结果处理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8151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【订单结果通知】</w:t>
            </w:r>
          </w:p>
          <w:p w14:paraId="5D18DACA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【订单结果通知】</w:t>
            </w:r>
          </w:p>
          <w:p w14:paraId="1D8E5379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【订单详情查询】</w:t>
            </w:r>
          </w:p>
        </w:tc>
      </w:tr>
      <w:tr w:rsidR="001D4668" w:rsidRPr="001D4668" w14:paraId="3F0F1BA6" w14:textId="77777777" w:rsidTr="001D4668">
        <w:trPr>
          <w:trHeight w:val="250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D059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BFE0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AA2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电子回单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43DB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【电子回单下载】</w:t>
            </w:r>
          </w:p>
        </w:tc>
      </w:tr>
      <w:tr w:rsidR="001D4668" w:rsidRPr="001D4668" w14:paraId="19F628E8" w14:textId="77777777" w:rsidTr="001D4668">
        <w:trPr>
          <w:trHeight w:val="283"/>
        </w:trPr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8925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sz w:val="18"/>
                <w:szCs w:val="22"/>
                <w14:ligatures w14:val="standardContextua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221D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8BEC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平台对账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D152" w14:textId="77777777" w:rsidR="001D4668" w:rsidRPr="001D4668" w:rsidRDefault="001D4668" w:rsidP="001D4668">
            <w:pPr>
              <w:widowControl/>
              <w:spacing w:line="24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</w:pPr>
            <w:r w:rsidRPr="001D466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2"/>
                <w:lang w:bidi="ar"/>
                <w14:ligatures w14:val="standardContextual"/>
              </w:rPr>
              <w:t>【应用集合对账文件下载】</w:t>
            </w:r>
          </w:p>
        </w:tc>
      </w:tr>
    </w:tbl>
    <w:p w14:paraId="138C1856" w14:textId="77777777" w:rsidR="001D4668" w:rsidRPr="001D4668" w:rsidRDefault="001D4668" w:rsidP="001D4668">
      <w:pPr>
        <w:keepNext/>
        <w:keepLines/>
        <w:spacing w:before="260" w:after="260" w:line="412" w:lineRule="auto"/>
        <w:outlineLvl w:val="1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4.行业版风控参数</w:t>
      </w:r>
    </w:p>
    <w:p w14:paraId="008E5CBC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4.1行业版角色</w:t>
      </w:r>
    </w:p>
    <w:p w14:paraId="78DEBA87" w14:textId="594B124D" w:rsidR="00D55517" w:rsidRPr="001D4668" w:rsidRDefault="001D4668" w:rsidP="001D4668">
      <w:pPr>
        <w:spacing w:afterLines="50" w:after="163" w:line="240" w:lineRule="auto"/>
        <w:rPr>
          <w:rFonts w:ascii="宋体" w:eastAsia="宋体" w:hAnsi="宋体" w:cs="宋体"/>
          <w:b/>
          <w:sz w:val="20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20"/>
          <w:szCs w:val="22"/>
          <w14:ligatures w14:val="standardContextual"/>
        </w:rPr>
        <w:t>角色配置：融易充</w:t>
      </w:r>
    </w:p>
    <w:tbl>
      <w:tblPr>
        <w:tblpPr w:leftFromText="180" w:rightFromText="180" w:vertAnchor="page" w:horzAnchor="margin" w:tblpXSpec="center" w:tblpY="2953"/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352"/>
        <w:gridCol w:w="852"/>
        <w:gridCol w:w="708"/>
        <w:gridCol w:w="851"/>
        <w:gridCol w:w="709"/>
        <w:gridCol w:w="992"/>
        <w:gridCol w:w="1134"/>
        <w:gridCol w:w="992"/>
        <w:gridCol w:w="1134"/>
        <w:gridCol w:w="1418"/>
        <w:gridCol w:w="992"/>
        <w:gridCol w:w="1134"/>
        <w:gridCol w:w="992"/>
        <w:gridCol w:w="1563"/>
      </w:tblGrid>
      <w:tr w:rsidR="001D4668" w:rsidRPr="001D4668" w14:paraId="5A6546A4" w14:textId="77777777" w:rsidTr="001D4668">
        <w:trPr>
          <w:trHeight w:val="246"/>
          <w:jc w:val="center"/>
        </w:trPr>
        <w:tc>
          <w:tcPr>
            <w:tcW w:w="351" w:type="dxa"/>
            <w:vMerge w:val="restart"/>
            <w:shd w:val="clear" w:color="auto" w:fill="auto"/>
            <w:vAlign w:val="center"/>
          </w:tcPr>
          <w:p w14:paraId="13A6B905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lastRenderedPageBreak/>
              <w:t>应用</w:t>
            </w:r>
          </w:p>
        </w:tc>
        <w:tc>
          <w:tcPr>
            <w:tcW w:w="352" w:type="dxa"/>
            <w:vMerge w:val="restart"/>
            <w:shd w:val="clear" w:color="auto" w:fill="auto"/>
            <w:vAlign w:val="center"/>
          </w:tcPr>
          <w:p w14:paraId="7E149E8C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行业版产品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781367BA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付款方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center"/>
          </w:tcPr>
          <w:p w14:paraId="1B7F48FA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收款方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</w:tcPr>
          <w:p w14:paraId="7D1F62C7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分账方</w:t>
            </w:r>
          </w:p>
        </w:tc>
        <w:tc>
          <w:tcPr>
            <w:tcW w:w="1563" w:type="dxa"/>
            <w:vMerge w:val="restart"/>
            <w:shd w:val="clear" w:color="auto" w:fill="FFF2CD" w:themeFill="accent4" w:themeFillTint="32"/>
            <w:noWrap/>
            <w:vAlign w:val="center"/>
          </w:tcPr>
          <w:p w14:paraId="381D62D5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收款方及分账方</w:t>
            </w:r>
          </w:p>
        </w:tc>
      </w:tr>
      <w:tr w:rsidR="001D4668" w:rsidRPr="001D4668" w14:paraId="7629BF0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7A53E36E" w14:textId="77777777" w:rsidR="00D55517" w:rsidRPr="001D4668" w:rsidRDefault="00D55517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7F48FBB4" w14:textId="77777777" w:rsidR="00D55517" w:rsidRPr="001D4668" w:rsidRDefault="00D55517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2DED1543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角色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558254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5CC4D" w14:textId="77777777" w:rsidR="00D55517" w:rsidRPr="001D4668" w:rsidRDefault="008E045F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角色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2B5C26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ADDCA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是否允许分账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9B933B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是否需要签订收款协议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C1A38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收款协议模板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36C3BD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角色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000AFF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B28A3D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是否允许分账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E2971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是否需要签订分账协议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8A175" w14:textId="77777777" w:rsidR="00D55517" w:rsidRPr="001D4668" w:rsidRDefault="008E045F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分账协议模板</w:t>
            </w: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7396AAF7" w14:textId="77777777" w:rsidR="00D55517" w:rsidRPr="001D4668" w:rsidRDefault="00D55517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490612BB" w14:textId="77777777" w:rsidTr="001D4668">
        <w:trPr>
          <w:trHeight w:val="492"/>
          <w:jc w:val="center"/>
        </w:trPr>
        <w:tc>
          <w:tcPr>
            <w:tcW w:w="351" w:type="dxa"/>
            <w:vMerge w:val="restart"/>
            <w:vAlign w:val="center"/>
          </w:tcPr>
          <w:p w14:paraId="3A92BF7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vAlign w:val="center"/>
          </w:tcPr>
          <w:p w14:paraId="2AC83A8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融易充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5E7A4860" w14:textId="0298780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消费者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143763F8" w14:textId="021348A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个人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C02D372" w14:textId="58198AF5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加盟商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37698A8" w14:textId="70ED1D7C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7CB0925" w14:textId="3CBC6038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32ABF69" w14:textId="67D58B80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9FDF96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56EC7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B9921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25D9D1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1E48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881A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 w:val="restart"/>
            <w:shd w:val="clear" w:color="auto" w:fill="FFF2CD" w:themeFill="accent4" w:themeFillTint="32"/>
            <w:vAlign w:val="center"/>
          </w:tcPr>
          <w:p w14:paraId="60A1E9FC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《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关系证明函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》</w:t>
            </w:r>
          </w:p>
          <w:p w14:paraId="3E9A42FC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（无需配置，默认要求签署）</w:t>
            </w:r>
          </w:p>
          <w:p w14:paraId="3F08A09A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7F33F272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0909612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47E1117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206835E9" w14:textId="7E9638F9" w:rsidR="001D4668" w:rsidRPr="001D4668" w:rsidRDefault="001D4668" w:rsidP="0091297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8E8F526" w14:textId="59D212E1" w:rsidR="001D4668" w:rsidRPr="001D4668" w:rsidRDefault="001D4668" w:rsidP="00722E32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193E9" w14:textId="31EB8FC5" w:rsidR="001D4668" w:rsidRPr="001D4668" w:rsidRDefault="001D4668" w:rsidP="00B121B9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9643B12" w14:textId="6C89ECA8" w:rsidR="001D4668" w:rsidRPr="001D4668" w:rsidRDefault="001D4668" w:rsidP="00DF6F2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53AEAE5" w14:textId="071C4C18" w:rsidR="001D4668" w:rsidRPr="001D4668" w:rsidRDefault="001D4668" w:rsidP="00481AF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052265C" w14:textId="466492D6" w:rsidR="001D4668" w:rsidRPr="001D4668" w:rsidRDefault="001D4668" w:rsidP="002E6CD0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A96891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15FFE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067AB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E6A63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442B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1204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502038E8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6178C34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06E8FB4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32FC69A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86DC825" w14:textId="4778FD51" w:rsidR="001D4668" w:rsidRPr="001D4668" w:rsidRDefault="001D4668" w:rsidP="0091297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6A3E7D1" w14:textId="516C9C73" w:rsidR="001D4668" w:rsidRPr="001D4668" w:rsidRDefault="001D4668" w:rsidP="00722E32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901157E" w14:textId="5F944CEB" w:rsidR="001D4668" w:rsidRPr="001D4668" w:rsidRDefault="001D4668" w:rsidP="00B121B9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9A25112" w14:textId="72F2F165" w:rsidR="001D4668" w:rsidRPr="001D4668" w:rsidRDefault="001D4668" w:rsidP="00DF6F2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0D18A0" w14:textId="47883244" w:rsidR="001D4668" w:rsidRPr="001D4668" w:rsidRDefault="001D4668" w:rsidP="00481AF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7679FB" w14:textId="4ED6E49B" w:rsidR="001D4668" w:rsidRPr="001D4668" w:rsidRDefault="001D4668" w:rsidP="002E6CD0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32737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83870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E0BEC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30BC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8332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FE3E4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2CA8C420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5E4A200E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70E8A22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27A2B6A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2846B6FB" w14:textId="5B8CA952" w:rsidR="001D4668" w:rsidRPr="001D4668" w:rsidRDefault="001D4668" w:rsidP="0091297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BE69480" w14:textId="29669B9D" w:rsidR="001D4668" w:rsidRPr="001D4668" w:rsidRDefault="001D4668" w:rsidP="00722E32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7DBB9C2" w14:textId="5CF968CB" w:rsidR="001D4668" w:rsidRPr="001D4668" w:rsidRDefault="001D4668" w:rsidP="00B121B9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3721759" w14:textId="2BDA4B06" w:rsidR="001D4668" w:rsidRPr="001D4668" w:rsidRDefault="001D4668" w:rsidP="00DF6F2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6A34D" w14:textId="2700CFE9" w:rsidR="001D4668" w:rsidRPr="001D4668" w:rsidRDefault="001D4668" w:rsidP="00481AF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2E37F03" w14:textId="22311648" w:rsidR="001D4668" w:rsidRPr="001D4668" w:rsidRDefault="001D4668" w:rsidP="002E6CD0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8C7F3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F934C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69869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5D045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CE50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C4DA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60EC24BC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31EFE5FA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5CBC982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4A2696B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4570D64D" w14:textId="1ECC0EE6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4DA306D" w14:textId="4320866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1808105" w14:textId="20B99498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9E251DF" w14:textId="4A99918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A6B7C34" w14:textId="4FC6C04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888A678" w14:textId="220DDD7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D66F95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7B3A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34DB7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492D2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12EF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42DDA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6F3DD3B6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07EF857F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5B56813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20A7C2D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5EEAA438" w14:textId="153D3CAF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储值卡充值户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6AAAEAAF" w14:textId="363FAAC2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企业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9FA1C75" w14:textId="1F9559B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加盟商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B228906" w14:textId="64118445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6EF80D4" w14:textId="5FF94990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D2DE9BB" w14:textId="735C24B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56C84E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34315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55CE1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D123E0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A0D16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4CE1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68545FE3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6F4FCE31" w14:textId="77777777" w:rsidTr="001D4668">
        <w:trPr>
          <w:trHeight w:val="642"/>
          <w:jc w:val="center"/>
        </w:trPr>
        <w:tc>
          <w:tcPr>
            <w:tcW w:w="351" w:type="dxa"/>
            <w:vMerge/>
            <w:vAlign w:val="center"/>
          </w:tcPr>
          <w:p w14:paraId="0AE1208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79AA524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6246410" w14:textId="694616B1" w:rsidR="001D4668" w:rsidRPr="001D4668" w:rsidRDefault="001D4668" w:rsidP="00F44C8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D1F78AE" w14:textId="447A9A3E" w:rsidR="001D4668" w:rsidRPr="001D4668" w:rsidRDefault="001D4668" w:rsidP="002B31F4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656DE7" w14:textId="6B977B10" w:rsidR="001D4668" w:rsidRPr="001D4668" w:rsidRDefault="001D4668" w:rsidP="0069131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D35DD5B" w14:textId="4E283AC3" w:rsidR="001D4668" w:rsidRPr="001D4668" w:rsidRDefault="001D4668" w:rsidP="009C15C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9CCDE" w14:textId="557E19B2" w:rsidR="001D4668" w:rsidRPr="001D4668" w:rsidRDefault="001D4668" w:rsidP="00B941B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B52E33" w14:textId="2C4D7A42" w:rsidR="001D4668" w:rsidRPr="001D4668" w:rsidRDefault="001D4668" w:rsidP="0028426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BA344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74EBF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8CA6C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613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A0A13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B1352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604FC545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3A2254C4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63A61DB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76CFEA3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215A6621" w14:textId="3AA828D7" w:rsidR="001D4668" w:rsidRPr="001D4668" w:rsidRDefault="001D4668" w:rsidP="00F44C8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40CC18D" w14:textId="3819BED8" w:rsidR="001D4668" w:rsidRPr="001D4668" w:rsidRDefault="001D4668" w:rsidP="002B31F4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86A1597" w14:textId="1413802E" w:rsidR="001D4668" w:rsidRPr="001D4668" w:rsidRDefault="001D4668" w:rsidP="0069131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8CB13C1" w14:textId="2B785C7E" w:rsidR="001D4668" w:rsidRPr="001D4668" w:rsidRDefault="001D4668" w:rsidP="009C15C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C19B0B" w14:textId="2B5313E1" w:rsidR="001D4668" w:rsidRPr="001D4668" w:rsidRDefault="001D4668" w:rsidP="00B941B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B65DD38" w14:textId="171344BF" w:rsidR="001D4668" w:rsidRPr="001D4668" w:rsidRDefault="001D4668" w:rsidP="0028426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E4A09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15BE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5F9CC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0EAC3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110EB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22F2E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4ACD1EC5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67ED4B45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521ABDF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66F59F1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77E61032" w14:textId="42C42E41" w:rsidR="001D4668" w:rsidRPr="001D4668" w:rsidRDefault="001D4668" w:rsidP="00F44C8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008473F" w14:textId="1FC20C21" w:rsidR="001D4668" w:rsidRPr="001D4668" w:rsidRDefault="001D4668" w:rsidP="002B31F4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8A22A1B" w14:textId="6D06F23D" w:rsidR="001D4668" w:rsidRPr="001D4668" w:rsidRDefault="001D4668" w:rsidP="0069131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362F11" w14:textId="52D25A6D" w:rsidR="001D4668" w:rsidRPr="001D4668" w:rsidRDefault="001D4668" w:rsidP="009C15C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B8702D" w14:textId="085222AD" w:rsidR="001D4668" w:rsidRPr="001D4668" w:rsidRDefault="001D4668" w:rsidP="00B941B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3B42F63" w14:textId="62ABCAEF" w:rsidR="001D4668" w:rsidRPr="001D4668" w:rsidRDefault="001D4668" w:rsidP="0028426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28AB5E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E71C0C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C716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9816BF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D8768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30A1C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24BC53F3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7CF84E1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156D868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25CF01E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1889D03" w14:textId="6155506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FC485E" w14:textId="273C182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971148B" w14:textId="25E9C94E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22DDC87" w14:textId="5EE510D2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72248C" w14:textId="76C95C8C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9F0F24B" w14:textId="42B09C1B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B8BDC2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895A6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5EB92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F0DCF0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8B4A3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695B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1579CE9E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0262C03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5CD918F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0F9F3CD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6AEE6CD5" w14:textId="0976AD3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消费者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7D207F6" w14:textId="517ED54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个人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1EFF635" w14:textId="74CA899D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代理商</w:t>
            </w:r>
          </w:p>
          <w:p w14:paraId="2F884774" w14:textId="62DA1006" w:rsidR="001D4668" w:rsidRPr="001D4668" w:rsidRDefault="001D4668" w:rsidP="007E026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A29F3E0" w14:textId="63F9024C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67D9DD5" w14:textId="3046F620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C1CDCD5" w14:textId="30A89C23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5092C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1C778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221A3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53F5E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6CF59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709D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1CE11802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7153E5A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217506B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218FD40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25C51151" w14:textId="73BCBEA1" w:rsidR="001D4668" w:rsidRPr="001D4668" w:rsidRDefault="001D4668" w:rsidP="003D062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43619EF" w14:textId="6476111F" w:rsidR="001D4668" w:rsidRPr="001D4668" w:rsidRDefault="001D4668" w:rsidP="00A2509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A8DA091" w14:textId="14B1A05B" w:rsidR="001D4668" w:rsidRPr="001D4668" w:rsidRDefault="001D4668" w:rsidP="007E026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655C41A" w14:textId="3664AA71" w:rsidR="001D4668" w:rsidRPr="001D4668" w:rsidRDefault="001D4668" w:rsidP="001960A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50E2CD" w14:textId="3D87DFF9" w:rsidR="001D4668" w:rsidRPr="001D4668" w:rsidRDefault="001D4668" w:rsidP="00304A4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119A5A5" w14:textId="402D6439" w:rsidR="001D4668" w:rsidRPr="001D4668" w:rsidRDefault="001D4668" w:rsidP="00EC7E8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F4763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69176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B4371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34C2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7E06C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D6F57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41944CD2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394B4B4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3A9E684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6A13243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7B612333" w14:textId="7AA64A90" w:rsidR="001D4668" w:rsidRPr="001D4668" w:rsidRDefault="001D4668" w:rsidP="003D062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89057D5" w14:textId="3CF827FF" w:rsidR="001D4668" w:rsidRPr="001D4668" w:rsidRDefault="001D4668" w:rsidP="00A2509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4866D68" w14:textId="6B464A27" w:rsidR="001D4668" w:rsidRPr="001D4668" w:rsidRDefault="001D4668" w:rsidP="007E026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41FFF42" w14:textId="597CD65C" w:rsidR="001D4668" w:rsidRPr="001D4668" w:rsidRDefault="001D4668" w:rsidP="001960A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A903D99" w14:textId="13EF7FDE" w:rsidR="001D4668" w:rsidRPr="001D4668" w:rsidRDefault="001D4668" w:rsidP="00304A4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980062" w14:textId="66675F19" w:rsidR="001D4668" w:rsidRPr="001D4668" w:rsidRDefault="001D4668" w:rsidP="00EC7E8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53755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CA286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7C08E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6E3C77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12840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6123B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11A31AE4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115BE44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1893FAA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0004797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46B3BF8A" w14:textId="1574CB8E" w:rsidR="001D4668" w:rsidRPr="001D4668" w:rsidRDefault="001D4668" w:rsidP="003D062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8C7E2A7" w14:textId="2FA4653B" w:rsidR="001D4668" w:rsidRPr="001D4668" w:rsidRDefault="001D4668" w:rsidP="00A2509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74F2059" w14:textId="474B6785" w:rsidR="001D4668" w:rsidRPr="001D4668" w:rsidRDefault="001D4668" w:rsidP="007E026B">
            <w:pPr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198BD97" w14:textId="66470917" w:rsidR="001D4668" w:rsidRPr="001D4668" w:rsidRDefault="001D4668" w:rsidP="001960A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BAE19BA" w14:textId="6AD9F336" w:rsidR="001D4668" w:rsidRPr="001D4668" w:rsidRDefault="001D4668" w:rsidP="00304A4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1DE689" w14:textId="571EAD65" w:rsidR="001D4668" w:rsidRPr="001D4668" w:rsidRDefault="001D4668" w:rsidP="00EC7E8F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21FA3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8A32F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D296D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14671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8277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7E752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6E60C469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10AB0020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0D518CF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0C9A1F1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0FA7D87A" w14:textId="0ED5365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528845B" w14:textId="5217C6A5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E6A6E33" w14:textId="5805D9DC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4127DE3" w14:textId="5DDD0EA8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741B8B" w14:textId="0F3D808C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551988A" w14:textId="70B0C08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558EF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5A99B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C797E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A9ED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D04A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B89DB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4F87328C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10DDFE5D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0B30883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5FE78A5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50B300F3" w14:textId="7BF184E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储值卡充值户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E383FD8" w14:textId="34C2469F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企业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EF62BF1" w14:textId="1F45E5AC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代理商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5009ABC" w14:textId="09E00208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33D0481" w14:textId="676E305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6E2730D" w14:textId="3CDFD410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864775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421DB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7BC82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BA80F9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28D27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1DD51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2F84B344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26CB800A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2F73F44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0E6F0E0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5578F768" w14:textId="3E91127B" w:rsidR="001D4668" w:rsidRPr="001D4668" w:rsidRDefault="001D4668" w:rsidP="0005744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CB82FB8" w14:textId="3293B888" w:rsidR="001D4668" w:rsidRPr="001D4668" w:rsidRDefault="001D4668" w:rsidP="002C74A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0B5EA3" w14:textId="4239EE4E" w:rsidR="001D4668" w:rsidRPr="001D4668" w:rsidRDefault="001D4668" w:rsidP="00BC19A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C3A8748" w14:textId="56DCC07B" w:rsidR="001D4668" w:rsidRPr="001D4668" w:rsidRDefault="001D4668" w:rsidP="00C21D8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C64967F" w14:textId="29EF23CD" w:rsidR="001D4668" w:rsidRPr="001D4668" w:rsidRDefault="001D4668" w:rsidP="00DF4E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9EE4898" w14:textId="12AD094C" w:rsidR="001D4668" w:rsidRPr="001D4668" w:rsidRDefault="001D4668" w:rsidP="00C7150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63F3D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8E6C6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E26BF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49874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697D0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EF063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06CDF8B9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3F7CC008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67FBC74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4118480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5B911E72" w14:textId="5FF63938" w:rsidR="001D4668" w:rsidRPr="001D4668" w:rsidRDefault="001D4668" w:rsidP="0005744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949E1B0" w14:textId="5C062304" w:rsidR="001D4668" w:rsidRPr="001D4668" w:rsidRDefault="001D4668" w:rsidP="002C74A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2641AD1" w14:textId="30C3D3AE" w:rsidR="001D4668" w:rsidRPr="001D4668" w:rsidRDefault="001D4668" w:rsidP="00BC19A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65A3C2" w14:textId="5F787603" w:rsidR="001D4668" w:rsidRPr="001D4668" w:rsidRDefault="001D4668" w:rsidP="00C21D8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482F88" w14:textId="267B2D63" w:rsidR="001D4668" w:rsidRPr="001D4668" w:rsidRDefault="001D4668" w:rsidP="00DF4E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543704" w14:textId="7D1B5653" w:rsidR="001D4668" w:rsidRPr="001D4668" w:rsidRDefault="001D4668" w:rsidP="00C7150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4CF80A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87453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77DC0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419C9D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220E60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8E3C7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5CB24E90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6A8828DE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2FDFC4F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36939A8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579B4D35" w14:textId="57D169EF" w:rsidR="001D4668" w:rsidRPr="001D4668" w:rsidRDefault="001D4668" w:rsidP="0005744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BEDDE3D" w14:textId="10B562C1" w:rsidR="001D4668" w:rsidRPr="001D4668" w:rsidRDefault="001D4668" w:rsidP="002C74A5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F73D141" w14:textId="71B22ECE" w:rsidR="001D4668" w:rsidRPr="001D4668" w:rsidRDefault="001D4668" w:rsidP="00BC19AB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92F97A2" w14:textId="54D618A3" w:rsidR="001D4668" w:rsidRPr="001D4668" w:rsidRDefault="001D4668" w:rsidP="00C21D83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1D906C8" w14:textId="4355B7E5" w:rsidR="001D4668" w:rsidRPr="001D4668" w:rsidRDefault="001D4668" w:rsidP="00DF4E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DE5F3D5" w14:textId="383275AB" w:rsidR="001D4668" w:rsidRPr="001D4668" w:rsidRDefault="001D4668" w:rsidP="00C71509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C80FA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0DCC1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5A83D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7FA206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77838A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FE2A4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4DA9149A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4B845749" w14:textId="77777777" w:rsidTr="001D4668">
        <w:trPr>
          <w:trHeight w:val="492"/>
          <w:jc w:val="center"/>
        </w:trPr>
        <w:tc>
          <w:tcPr>
            <w:tcW w:w="351" w:type="dxa"/>
            <w:vMerge/>
            <w:vAlign w:val="center"/>
          </w:tcPr>
          <w:p w14:paraId="0494AD1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2" w:type="dxa"/>
            <w:vMerge/>
            <w:vAlign w:val="center"/>
          </w:tcPr>
          <w:p w14:paraId="56C0CFB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3DECF466" w14:textId="2D5408E6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668B5E3" w14:textId="1BA5787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A168E39" w14:textId="0DF8C1E5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E5AE27F" w14:textId="41845004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FE80B" w14:textId="598C4ABA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65D9E5" w14:textId="26E40CB3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64EF4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3B218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82D3A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E4E56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01A93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8515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vAlign w:val="center"/>
          </w:tcPr>
          <w:p w14:paraId="17B6666E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49EB7D82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2F1576B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65792E1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74EA04BD" w14:textId="48AB5805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消费者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0C4C570" w14:textId="1D8A2A9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个人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7D7406A" w14:textId="0FDD6746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7CEFD79" w14:textId="0BAB187B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ADED211" w14:textId="6A54A39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12D981D" w14:textId="7AC7B290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D31646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E4C0E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C8DAF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63F41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5798E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85075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69785F43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19A8C05D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6A3ABAD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6A1EC96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3A218BEC" w14:textId="14362165" w:rsidR="001D4668" w:rsidRPr="001D4668" w:rsidRDefault="001D4668" w:rsidP="00506B4C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401C137" w14:textId="2DA0A5DE" w:rsidR="001D4668" w:rsidRPr="001D4668" w:rsidRDefault="001D4668" w:rsidP="001665B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25E24B6" w14:textId="34C6E1F7" w:rsidR="001D4668" w:rsidRPr="001D4668" w:rsidRDefault="001D4668" w:rsidP="006817B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B329C4" w14:textId="42DAC03C" w:rsidR="001D4668" w:rsidRPr="001D4668" w:rsidRDefault="001D4668" w:rsidP="00E7425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562143" w14:textId="02E6A19F" w:rsidR="001D4668" w:rsidRPr="001D4668" w:rsidRDefault="001D4668" w:rsidP="005661F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46F81B" w14:textId="1031ADC2" w:rsidR="001D4668" w:rsidRPr="001D4668" w:rsidRDefault="001D4668" w:rsidP="008F7B5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A90BC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36E28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9D6F8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D162A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82DF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68150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0FFA8ABA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2547B4C6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79E86B8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647104C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5ED17373" w14:textId="20E531E2" w:rsidR="001D4668" w:rsidRPr="001D4668" w:rsidRDefault="001D4668" w:rsidP="00506B4C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446FA37" w14:textId="7D25A51A" w:rsidR="001D4668" w:rsidRPr="001D4668" w:rsidRDefault="001D4668" w:rsidP="001665B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1F9D7FC" w14:textId="3004FA39" w:rsidR="001D4668" w:rsidRPr="001D4668" w:rsidRDefault="001D4668" w:rsidP="006817B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8DFCDBD" w14:textId="19AF1573" w:rsidR="001D4668" w:rsidRPr="001D4668" w:rsidRDefault="001D4668" w:rsidP="00E7425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CE4BAC8" w14:textId="7F1192E5" w:rsidR="001D4668" w:rsidRPr="001D4668" w:rsidRDefault="001D4668" w:rsidP="005661F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DE4C85" w14:textId="4258CBEA" w:rsidR="001D4668" w:rsidRPr="001D4668" w:rsidRDefault="001D4668" w:rsidP="008F7B5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2A573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5FDA9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51293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63D4D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AA08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3CD75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011F352D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73349534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4AEED6F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47B98833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33AAF32E" w14:textId="12576F2A" w:rsidR="001D4668" w:rsidRPr="001D4668" w:rsidRDefault="001D4668" w:rsidP="00506B4C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3FFFB5" w14:textId="6D96B43D" w:rsidR="001D4668" w:rsidRPr="001D4668" w:rsidRDefault="001D4668" w:rsidP="001665B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2418DFB" w14:textId="7F71E936" w:rsidR="001D4668" w:rsidRPr="001D4668" w:rsidRDefault="001D4668" w:rsidP="006817B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7F0BE1C" w14:textId="50E2E62A" w:rsidR="001D4668" w:rsidRPr="001D4668" w:rsidRDefault="001D4668" w:rsidP="00E74256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9BA0F9D" w14:textId="68A8BDC7" w:rsidR="001D4668" w:rsidRPr="001D4668" w:rsidRDefault="001D4668" w:rsidP="005661F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1F5D2E7" w14:textId="7FA920DF" w:rsidR="001D4668" w:rsidRPr="001D4668" w:rsidRDefault="001D4668" w:rsidP="008F7B5D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A8ABB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D0E72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41635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CF113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093208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D1255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52932D10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3EAD1736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434CD64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75C5AC0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3B654589" w14:textId="4610D603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296D37" w14:textId="182721EF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4FA5A8" w14:textId="23724653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992ED3B" w14:textId="686C1E83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A3CA0D" w14:textId="3859388B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A8B117D" w14:textId="64A34279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2ACE2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33EE5B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4C15BD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AD716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A689E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9C588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2EFD18CC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7FD7AB51" w14:textId="77777777" w:rsidTr="001D4668">
        <w:trPr>
          <w:trHeight w:val="549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116048F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35DADC4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284084E1" w14:textId="35D5520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储值卡充值户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E36685B" w14:textId="11AF658A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企业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84E42E1" w14:textId="2789E9FB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D6860B9" w14:textId="2BD2F57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8534869" w14:textId="50E99BE2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是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E0DCE9E" w14:textId="0D9D63B1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2BC619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F8775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场地提供方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06C86E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3E1A0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3A3C6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1EA4F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4EAA8C5D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1D4668" w:rsidRPr="001D4668" w14:paraId="0C18B997" w14:textId="77777777" w:rsidTr="001D4668">
        <w:trPr>
          <w:trHeight w:val="471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0FD432F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5AB4275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4C5606E0" w14:textId="3D52588C" w:rsidR="001D4668" w:rsidRPr="001D4668" w:rsidRDefault="001D4668" w:rsidP="00734AA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B52AA26" w14:textId="2B72E9B9" w:rsidR="001D4668" w:rsidRPr="001D4668" w:rsidRDefault="001D4668" w:rsidP="007C23A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D56476D" w14:textId="5E270A98" w:rsidR="001D4668" w:rsidRPr="001D4668" w:rsidRDefault="001D4668" w:rsidP="00F35F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1FEEF5A" w14:textId="2A416B91" w:rsidR="001D4668" w:rsidRPr="001D4668" w:rsidRDefault="001D4668" w:rsidP="005660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C30FF80" w14:textId="312EE4A3" w:rsidR="001D4668" w:rsidRPr="001D4668" w:rsidRDefault="001D4668" w:rsidP="007658C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C6A6FE" w14:textId="3CC8B267" w:rsidR="001D4668" w:rsidRPr="001D4668" w:rsidRDefault="001D4668" w:rsidP="009522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0158C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B7C9E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设备维护方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C93CD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FFE77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67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33156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3DCA11C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</w:tr>
      <w:tr w:rsidR="001D4668" w:rsidRPr="001D4668" w14:paraId="78B37890" w14:textId="77777777" w:rsidTr="001D4668">
        <w:trPr>
          <w:trHeight w:val="471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2B94957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7E36FE9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ED223E7" w14:textId="5CC59A55" w:rsidR="001D4668" w:rsidRPr="001D4668" w:rsidRDefault="001D4668" w:rsidP="00734AA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EB8132E" w14:textId="68137695" w:rsidR="001D4668" w:rsidRPr="001D4668" w:rsidRDefault="001D4668" w:rsidP="007C23A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6C4C9BD" w14:textId="36517AE9" w:rsidR="001D4668" w:rsidRPr="001D4668" w:rsidRDefault="001D4668" w:rsidP="00F35F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67C4594" w14:textId="6B27FB1E" w:rsidR="001D4668" w:rsidRPr="001D4668" w:rsidRDefault="001D4668" w:rsidP="005660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8862A97" w14:textId="254F4CD5" w:rsidR="001D4668" w:rsidRPr="001D4668" w:rsidRDefault="001D4668" w:rsidP="007658C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1CA504" w14:textId="4CEE6190" w:rsidR="001D4668" w:rsidRPr="001D4668" w:rsidRDefault="001D4668" w:rsidP="009522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BF3733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97695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设备提供方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B0BAB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F8F532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E367C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10938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04F9A82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</w:tr>
      <w:tr w:rsidR="001D4668" w:rsidRPr="001D4668" w14:paraId="0BE3C036" w14:textId="77777777" w:rsidTr="001D4668">
        <w:trPr>
          <w:trHeight w:val="471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18251B36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6291937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05D467C6" w14:textId="02777B6B" w:rsidR="001D4668" w:rsidRPr="001D4668" w:rsidRDefault="001D4668" w:rsidP="00734AA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09DDB57" w14:textId="3A9E29AD" w:rsidR="001D4668" w:rsidRPr="001D4668" w:rsidRDefault="001D4668" w:rsidP="007C23AE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2F46C3B" w14:textId="447B4B82" w:rsidR="001D4668" w:rsidRPr="001D4668" w:rsidRDefault="001D4668" w:rsidP="00F35F71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5E8BBD1" w14:textId="0843F278" w:rsidR="001D4668" w:rsidRPr="001D4668" w:rsidRDefault="001D4668" w:rsidP="005660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7A3D75" w14:textId="374A3352" w:rsidR="001D4668" w:rsidRPr="001D4668" w:rsidRDefault="001D4668" w:rsidP="007658CA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8949E12" w14:textId="7C929BC6" w:rsidR="001D4668" w:rsidRPr="001D4668" w:rsidRDefault="001D4668" w:rsidP="00952228">
            <w:pPr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8812062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C43595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运营服务方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4850D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/个体户/个人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265C2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67D8C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DB34EF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708A7CD4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</w:tr>
      <w:tr w:rsidR="001D4668" w:rsidRPr="001D4668" w14:paraId="4BE221E0" w14:textId="77777777" w:rsidTr="001D4668">
        <w:trPr>
          <w:trHeight w:val="461"/>
          <w:jc w:val="center"/>
        </w:trPr>
        <w:tc>
          <w:tcPr>
            <w:tcW w:w="351" w:type="dxa"/>
            <w:vMerge/>
            <w:shd w:val="clear" w:color="auto" w:fill="auto"/>
            <w:vAlign w:val="center"/>
          </w:tcPr>
          <w:p w14:paraId="3B51A060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352" w:type="dxa"/>
            <w:vMerge/>
            <w:shd w:val="clear" w:color="auto" w:fill="auto"/>
            <w:vAlign w:val="center"/>
          </w:tcPr>
          <w:p w14:paraId="458244A9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3190F3AB" w14:textId="5B34851E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0E0ACA8" w14:textId="17D28ED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4C7216" w14:textId="2B218DE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DC193A8" w14:textId="01E9A42D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4A4975" w14:textId="48CA8C7F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F0D48A" w14:textId="184F8D56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166D1A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645668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品牌方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53DD6C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  <w:lang w:eastAsia="zh-Hans"/>
              </w:rPr>
              <w:t>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26BFF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  <w:t>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607D5" w14:textId="77777777" w:rsidR="001D4668" w:rsidRPr="001D4668" w:rsidRDefault="001D4668" w:rsidP="001D4668">
            <w:pPr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  <w:r w:rsidRPr="001D4668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F722F7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  <w:tc>
          <w:tcPr>
            <w:tcW w:w="1563" w:type="dxa"/>
            <w:vMerge/>
            <w:shd w:val="clear" w:color="auto" w:fill="FFF2CD" w:themeFill="accent4" w:themeFillTint="32"/>
            <w:noWrap/>
            <w:vAlign w:val="center"/>
          </w:tcPr>
          <w:p w14:paraId="46051421" w14:textId="77777777" w:rsidR="001D4668" w:rsidRPr="001D4668" w:rsidRDefault="001D4668" w:rsidP="001D4668">
            <w:pPr>
              <w:widowControl/>
              <w:spacing w:line="240" w:lineRule="auto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  <w:lang w:eastAsia="zh-Hans"/>
              </w:rPr>
            </w:pPr>
          </w:p>
        </w:tc>
      </w:tr>
    </w:tbl>
    <w:p w14:paraId="5365C59B" w14:textId="025ABDA7" w:rsidR="008E045F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t>4.2订单管控</w:t>
      </w:r>
    </w:p>
    <w:p w14:paraId="39FA0686" w14:textId="7EB7CD49" w:rsidR="001D4668" w:rsidRPr="008E045F" w:rsidRDefault="008E045F" w:rsidP="001D4668">
      <w:pPr>
        <w:spacing w:line="240" w:lineRule="auto"/>
        <w:rPr>
          <w:rFonts w:asciiTheme="majorEastAsia" w:eastAsiaTheme="majorEastAsia" w:hAnsiTheme="majorEastAsia" w:cs="Times New Roman"/>
          <w:sz w:val="21"/>
          <w:szCs w:val="22"/>
          <w14:ligatures w14:val="standardContextual"/>
        </w:rPr>
      </w:pPr>
      <w:r w:rsidRPr="008E045F">
        <w:rPr>
          <w:rFonts w:asciiTheme="majorEastAsia" w:eastAsiaTheme="majorEastAsia" w:hAnsiTheme="majorEastAsia" w:cs="Times New Roman" w:hint="eastAsia"/>
          <w:noProof/>
          <w:sz w:val="21"/>
          <w:szCs w:val="22"/>
        </w:rPr>
        <w:t>订单管控：单个配置</w:t>
      </w: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559"/>
        <w:gridCol w:w="1559"/>
        <w:gridCol w:w="1560"/>
        <w:gridCol w:w="2409"/>
      </w:tblGrid>
      <w:tr w:rsidR="008E045F" w:rsidRPr="008E045F" w14:paraId="28ED8FC4" w14:textId="77777777" w:rsidTr="008E045F">
        <w:trPr>
          <w:trHeight w:val="620"/>
        </w:trPr>
        <w:tc>
          <w:tcPr>
            <w:tcW w:w="1305" w:type="dxa"/>
            <w:shd w:val="clear" w:color="auto" w:fill="D9D9D9"/>
            <w:noWrap/>
            <w:vAlign w:val="center"/>
            <w:hideMark/>
          </w:tcPr>
          <w:p w14:paraId="4FC4AEB9" w14:textId="77777777" w:rsidR="008E045F" w:rsidRPr="001D4668" w:rsidRDefault="008E045F" w:rsidP="00260802">
            <w:pPr>
              <w:widowControl/>
              <w:spacing w:line="240" w:lineRule="auto"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行业版产品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14:paraId="476FDEA0" w14:textId="06CA80D7" w:rsidR="008E045F" w:rsidRPr="001D4668" w:rsidRDefault="008E045F" w:rsidP="00260802">
            <w:pPr>
              <w:widowControl/>
              <w:spacing w:line="240" w:lineRule="auto"/>
              <w:jc w:val="left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收款人数限制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14:paraId="29BC7DC9" w14:textId="118B861F" w:rsidR="008E045F" w:rsidRPr="001D4668" w:rsidRDefault="008E045F" w:rsidP="00260802">
            <w:pPr>
              <w:widowControl/>
              <w:spacing w:line="240" w:lineRule="auto"/>
              <w:jc w:val="left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分账人数限制</w:t>
            </w:r>
          </w:p>
        </w:tc>
        <w:tc>
          <w:tcPr>
            <w:tcW w:w="1560" w:type="dxa"/>
            <w:shd w:val="clear" w:color="auto" w:fill="D9D9D9"/>
            <w:vAlign w:val="center"/>
            <w:hideMark/>
          </w:tcPr>
          <w:p w14:paraId="3F3263CF" w14:textId="6ADADF31" w:rsidR="008E045F" w:rsidRPr="001D4668" w:rsidRDefault="008E045F" w:rsidP="00260802">
            <w:pPr>
              <w:widowControl/>
              <w:spacing w:line="240" w:lineRule="auto"/>
              <w:jc w:val="left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分账比例（%）</w:t>
            </w:r>
          </w:p>
        </w:tc>
        <w:tc>
          <w:tcPr>
            <w:tcW w:w="2409" w:type="dxa"/>
            <w:shd w:val="clear" w:color="auto" w:fill="D9D9D9"/>
            <w:vAlign w:val="center"/>
            <w:hideMark/>
          </w:tcPr>
          <w:p w14:paraId="0B2BC33C" w14:textId="272C4DA3" w:rsidR="008E045F" w:rsidRPr="001D4668" w:rsidRDefault="008E045F" w:rsidP="00260802">
            <w:pPr>
              <w:widowControl/>
              <w:spacing w:line="240" w:lineRule="auto"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平台抽佣比例（%）</w:t>
            </w:r>
          </w:p>
        </w:tc>
      </w:tr>
      <w:tr w:rsidR="008E045F" w:rsidRPr="008E045F" w14:paraId="523746AD" w14:textId="77777777" w:rsidTr="008E045F">
        <w:trPr>
          <w:trHeight w:val="340"/>
        </w:trPr>
        <w:tc>
          <w:tcPr>
            <w:tcW w:w="1305" w:type="dxa"/>
            <w:vAlign w:val="center"/>
            <w:hideMark/>
          </w:tcPr>
          <w:p w14:paraId="3CB12A2B" w14:textId="77777777" w:rsidR="008E045F" w:rsidRPr="001D4668" w:rsidRDefault="008E045F" w:rsidP="00260802">
            <w:pPr>
              <w:widowControl/>
              <w:spacing w:line="240" w:lineRule="auto"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8"/>
                <w:szCs w:val="18"/>
              </w:rPr>
              <w:t>融易充</w:t>
            </w:r>
          </w:p>
        </w:tc>
        <w:tc>
          <w:tcPr>
            <w:tcW w:w="1559" w:type="dxa"/>
            <w:vAlign w:val="center"/>
            <w:hideMark/>
          </w:tcPr>
          <w:p w14:paraId="73AB96E6" w14:textId="6FD4CDDD" w:rsidR="008E045F" w:rsidRPr="001D4668" w:rsidRDefault="008E045F" w:rsidP="00260802">
            <w:pPr>
              <w:widowControl/>
              <w:spacing w:line="240" w:lineRule="auto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18C8E93F" w14:textId="2FB9C879" w:rsidR="008E045F" w:rsidRPr="001D4668" w:rsidRDefault="008E045F" w:rsidP="00260802">
            <w:pPr>
              <w:widowControl/>
              <w:spacing w:line="240" w:lineRule="auto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6EA8DABE" w14:textId="360AC0A4" w:rsidR="008E045F" w:rsidRPr="001D4668" w:rsidRDefault="008E045F" w:rsidP="00260802">
            <w:pPr>
              <w:widowControl/>
              <w:spacing w:line="240" w:lineRule="auto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2409" w:type="dxa"/>
            <w:vAlign w:val="center"/>
            <w:hideMark/>
          </w:tcPr>
          <w:p w14:paraId="5EDCA874" w14:textId="593F26E4" w:rsidR="008E045F" w:rsidRPr="001D4668" w:rsidRDefault="008E045F" w:rsidP="00260802">
            <w:pPr>
              <w:widowControl/>
              <w:spacing w:line="240" w:lineRule="auto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10</w:t>
            </w:r>
          </w:p>
        </w:tc>
      </w:tr>
    </w:tbl>
    <w:p w14:paraId="47D90DAF" w14:textId="77777777" w:rsidR="001D4668" w:rsidRPr="001D4668" w:rsidRDefault="001D4668" w:rsidP="001D4668">
      <w:pPr>
        <w:keepNext/>
        <w:keepLines/>
        <w:spacing w:before="260" w:after="260" w:line="412" w:lineRule="auto"/>
        <w:outlineLvl w:val="2"/>
        <w:rPr>
          <w:rFonts w:ascii="宋体" w:eastAsia="宋体" w:hAnsi="宋体" w:cs="宋体"/>
          <w:b/>
          <w:sz w:val="32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b/>
          <w:sz w:val="32"/>
          <w:szCs w:val="22"/>
          <w14:ligatures w14:val="standardContextual"/>
        </w:rPr>
        <w:lastRenderedPageBreak/>
        <w:t>4.3风控参数</w:t>
      </w:r>
    </w:p>
    <w:p w14:paraId="6CEEC598" w14:textId="77777777" w:rsidR="001D4668" w:rsidRPr="001D4668" w:rsidRDefault="001D4668" w:rsidP="001D4668">
      <w:pPr>
        <w:numPr>
          <w:ilvl w:val="0"/>
          <w:numId w:val="12"/>
        </w:numPr>
        <w:tabs>
          <w:tab w:val="left" w:pos="420"/>
        </w:tabs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入金类交易单笔限额500元。对于充值及核销场景设置单日笔数限额10000笔、日累计限额30000元、月累计限额500000元；</w:t>
      </w:r>
    </w:p>
    <w:p w14:paraId="1F1F3BF3" w14:textId="141F1AE4" w:rsidR="001D4668" w:rsidRPr="001D4668" w:rsidRDefault="001D4668" w:rsidP="001D4668">
      <w:pPr>
        <w:numPr>
          <w:ilvl w:val="0"/>
          <w:numId w:val="12"/>
        </w:numPr>
        <w:tabs>
          <w:tab w:val="left" w:pos="420"/>
        </w:tabs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云商通会员提现次数，默认10笔；企业/</w:t>
      </w:r>
      <w:r w:rsidR="008E045F">
        <w:rPr>
          <w:rFonts w:ascii="宋体" w:eastAsia="宋体" w:hAnsi="宋体" w:cs="宋体" w:hint="eastAsia"/>
          <w:sz w:val="21"/>
          <w:szCs w:val="22"/>
          <w14:ligatures w14:val="standardContextual"/>
        </w:rPr>
        <w:t>个体户</w:t>
      </w: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性质会员单笔及日累计限额500000元、月累计限额5000000元；个人性质会员单笔限额5000元、日累计与月累计限额20000元；</w:t>
      </w:r>
    </w:p>
    <w:p w14:paraId="0C4BAA21" w14:textId="77777777" w:rsidR="001D4668" w:rsidRPr="001D4668" w:rsidRDefault="001D4668" w:rsidP="001D4668">
      <w:pPr>
        <w:numPr>
          <w:ilvl w:val="0"/>
          <w:numId w:val="12"/>
        </w:numPr>
        <w:tabs>
          <w:tab w:val="left" w:pos="420"/>
        </w:tabs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如有KA客户、资质极好客户有突破限额要求，需要分公司提供合同、场景、情况说明等补充材料，一事一议；</w:t>
      </w:r>
    </w:p>
    <w:p w14:paraId="4DCA6717" w14:textId="77777777" w:rsidR="001D4668" w:rsidRPr="001D4668" w:rsidRDefault="001D4668" w:rsidP="001D4668">
      <w:pPr>
        <w:numPr>
          <w:ilvl w:val="0"/>
          <w:numId w:val="12"/>
        </w:numPr>
        <w:tabs>
          <w:tab w:val="left" w:pos="420"/>
        </w:tabs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线下支付方式（收银宝订单POS及当面付），默认开启；</w:t>
      </w:r>
    </w:p>
    <w:p w14:paraId="68E1B28C" w14:textId="77777777" w:rsidR="001D4668" w:rsidRPr="001D4668" w:rsidRDefault="001D4668" w:rsidP="001D4668">
      <w:pPr>
        <w:numPr>
          <w:ilvl w:val="0"/>
          <w:numId w:val="12"/>
        </w:numPr>
        <w:tabs>
          <w:tab w:val="left" w:pos="420"/>
        </w:tabs>
        <w:spacing w:line="240" w:lineRule="auto"/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云商通渠道商户，默认支持集团模式。</w:t>
      </w:r>
    </w:p>
    <w:tbl>
      <w:tblPr>
        <w:tblW w:w="13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8"/>
        <w:gridCol w:w="1022"/>
        <w:gridCol w:w="1417"/>
        <w:gridCol w:w="1985"/>
        <w:gridCol w:w="1417"/>
        <w:gridCol w:w="1559"/>
        <w:gridCol w:w="1843"/>
        <w:gridCol w:w="2268"/>
      </w:tblGrid>
      <w:tr w:rsidR="001D4668" w:rsidRPr="001D4668" w14:paraId="275C55F7" w14:textId="77777777" w:rsidTr="008E045F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8B92DB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行业版产品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DA7E9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订单类型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6F7301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控制对象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BD3A4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订单子类型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131218" w14:textId="77777777" w:rsidR="001D4668" w:rsidRPr="001D4668" w:rsidRDefault="001D4668" w:rsidP="001D4668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会员类型</w:t>
            </w: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（平台/个人/企业）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AA028E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单日笔数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30C147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单笔限额（元）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738368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日累计限额（元）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4F29E" w14:textId="77777777" w:rsidR="001D4668" w:rsidRPr="001D4668" w:rsidRDefault="001D4668" w:rsidP="001D4668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月累计限额（元）</w:t>
            </w:r>
          </w:p>
        </w:tc>
      </w:tr>
      <w:tr w:rsidR="008E045F" w:rsidRPr="001D4668" w14:paraId="5B40159F" w14:textId="77777777" w:rsidTr="008E045F">
        <w:trPr>
          <w:trHeight w:val="34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B1E9" w14:textId="7777777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融易充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67EE91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消费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380FFC" w14:textId="2697B2A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付款方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CA1230" w14:textId="2D3D963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287489" w14:textId="784D427F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6EFC" w14:textId="70A933DF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6A66" w14:textId="4893B97D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B561" w14:textId="365900C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1A6A" w14:textId="30CD3C95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</w:tr>
      <w:tr w:rsidR="008E045F" w:rsidRPr="001D4668" w14:paraId="519C0C50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48AE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1325D6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担保消费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9F486C" w14:textId="4AEF0711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付款方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AA5497" w14:textId="3F3C5CA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7BFA46" w14:textId="70001994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2BF8" w14:textId="584CDFFB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8915" w14:textId="72C58A6C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C91C" w14:textId="33036EFE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3940" w14:textId="2F53D6D3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</w:tr>
      <w:tr w:rsidR="008E045F" w:rsidRPr="001D4668" w14:paraId="37E56811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3E83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6118258B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D466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充值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2C4B" w14:textId="1CF504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付款方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418B" w14:textId="1D35F5BA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平台储值卡账户充值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3490" w14:textId="0EEDA142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企业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1B3B" w14:textId="1627610E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72A4" w14:textId="78CB658D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A6A3" w14:textId="60AA1401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30,000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A9BB" w14:textId="3EDEF34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</w:tr>
      <w:tr w:rsidR="008E045F" w:rsidRPr="001D4668" w14:paraId="3E74E009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FB11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8FB2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754F" w14:textId="0A27CE14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整个平台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522C7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0648" w14:textId="34197C3B" w:rsidR="008E045F" w:rsidRPr="008E045F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D7C4" w14:textId="50BFA84B" w:rsidR="008E045F" w:rsidRPr="008E045F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F4B59" w14:textId="63A81C50" w:rsidR="008E045F" w:rsidRPr="008E045F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8AAC" w14:textId="43530573" w:rsidR="008E045F" w:rsidRPr="008E045F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30,000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6AD57" w14:textId="6304E531" w:rsidR="008E045F" w:rsidRPr="008E045F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</w:tr>
      <w:tr w:rsidR="008E045F" w:rsidRPr="001D4668" w14:paraId="68FD33F0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14B0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E48CD7" w14:textId="2AB7E1F4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转账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D2F9" w14:textId="79296F6F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转出方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5D25" w14:textId="64329060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储值卡核销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213E" w14:textId="70CCA512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2854" w14:textId="02C81B4F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126E" w14:textId="25527E5F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DFBA" w14:textId="2DF23209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30,000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AD46" w14:textId="38D68441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</w:tr>
      <w:tr w:rsidR="008E045F" w:rsidRPr="001D4668" w14:paraId="3E199F70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7266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ADB2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提现</w:t>
            </w:r>
          </w:p>
          <w:p w14:paraId="2937A8B2" w14:textId="618B0D0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0BF0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提现会员</w:t>
            </w:r>
          </w:p>
          <w:p w14:paraId="574F6EE2" w14:textId="73374B92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8B2F" w14:textId="77777777" w:rsidR="008E045F" w:rsidRPr="008E045F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簿记账户提现</w:t>
            </w:r>
          </w:p>
          <w:p w14:paraId="1D5DB31D" w14:textId="5EE5BF3E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1F4D" w14:textId="62B60F5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个人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968D" w14:textId="6B580A3E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874D" w14:textId="79A66807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53E9" w14:textId="7B225910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20,000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01AA" w14:textId="2B4DC4FE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20,000</w:t>
            </w:r>
          </w:p>
        </w:tc>
      </w:tr>
      <w:tr w:rsidR="008E045F" w:rsidRPr="001D4668" w14:paraId="67582D8D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6CDE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710B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7827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631B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F513" w14:textId="222E9652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企业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B3E5" w14:textId="4F2A2471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1171" w14:textId="02CAD7F3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C6D6" w14:textId="22ABC603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CEB7" w14:textId="295FD068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5,000,000</w:t>
            </w:r>
          </w:p>
        </w:tc>
      </w:tr>
      <w:tr w:rsidR="008E045F" w:rsidRPr="001D4668" w14:paraId="660789D0" w14:textId="77777777" w:rsidTr="008E045F">
        <w:trPr>
          <w:trHeight w:val="31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69B7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761C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E7D6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EA83" w14:textId="77777777" w:rsidR="008E045F" w:rsidRPr="001D4668" w:rsidRDefault="008E045F" w:rsidP="008E045F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8166" w14:textId="129B4C85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个体户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0FC6" w14:textId="44BA0922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2A72" w14:textId="21A5542E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39A4" w14:textId="0230111C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500,000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4DCC" w14:textId="55F2F795" w:rsidR="008E045F" w:rsidRPr="001D4668" w:rsidRDefault="008E045F" w:rsidP="008E045F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8E045F">
              <w:rPr>
                <w:rFonts w:asciiTheme="minorEastAsia" w:eastAsiaTheme="minorEastAsia" w:hAnsiTheme="minorEastAsia" w:hint="eastAsia"/>
                <w:sz w:val="18"/>
                <w:szCs w:val="18"/>
              </w:rPr>
              <w:t>5,000,000</w:t>
            </w:r>
          </w:p>
        </w:tc>
      </w:tr>
    </w:tbl>
    <w:p w14:paraId="3D3A6E82" w14:textId="72CA01C3" w:rsidR="00D55517" w:rsidRPr="008E045F" w:rsidRDefault="001D4668" w:rsidP="008E045F">
      <w:pPr>
        <w:tabs>
          <w:tab w:val="left" w:pos="420"/>
        </w:tabs>
        <w:rPr>
          <w:rFonts w:ascii="宋体" w:eastAsia="宋体" w:hAnsi="宋体" w:cs="宋体"/>
          <w:sz w:val="21"/>
          <w:szCs w:val="22"/>
          <w14:ligatures w14:val="standardContextual"/>
        </w:rPr>
      </w:pPr>
      <w:r w:rsidRPr="001D4668">
        <w:rPr>
          <w:rFonts w:ascii="宋体" w:eastAsia="宋体" w:hAnsi="宋体" w:cs="宋体" w:hint="eastAsia"/>
          <w:sz w:val="21"/>
          <w:szCs w:val="22"/>
          <w14:ligatures w14:val="standardContextual"/>
        </w:rPr>
        <w:t>如需突破上述限额，烦请联系事业部一事一议～感谢支持</w:t>
      </w:r>
    </w:p>
    <w:sectPr w:rsidR="00D55517" w:rsidRPr="008E045F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1A0DD" w14:textId="77777777" w:rsidR="00646831" w:rsidRDefault="00646831">
      <w:pPr>
        <w:spacing w:line="240" w:lineRule="auto"/>
      </w:pPr>
      <w:r>
        <w:separator/>
      </w:r>
    </w:p>
  </w:endnote>
  <w:endnote w:type="continuationSeparator" w:id="0">
    <w:p w14:paraId="3DF19BD2" w14:textId="77777777" w:rsidR="00646831" w:rsidRDefault="00646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18CAE" w14:textId="77777777" w:rsidR="00646831" w:rsidRDefault="00646831">
      <w:r>
        <w:separator/>
      </w:r>
    </w:p>
  </w:footnote>
  <w:footnote w:type="continuationSeparator" w:id="0">
    <w:p w14:paraId="27103128" w14:textId="77777777" w:rsidR="00646831" w:rsidRDefault="00646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FFDEE55"/>
    <w:multiLevelType w:val="singleLevel"/>
    <w:tmpl w:val="AFFDEE55"/>
    <w:lvl w:ilvl="0">
      <w:start w:val="1"/>
      <w:numFmt w:val="decimalEnclosedCircleChinese"/>
      <w:suff w:val="nothing"/>
      <w:lvlText w:val="%1　"/>
      <w:lvlJc w:val="left"/>
      <w:pPr>
        <w:ind w:left="0" w:firstLine="403"/>
      </w:pPr>
    </w:lvl>
  </w:abstractNum>
  <w:abstractNum w:abstractNumId="1" w15:restartNumberingAfterBreak="0">
    <w:nsid w:val="BB584BC1"/>
    <w:multiLevelType w:val="singleLevel"/>
    <w:tmpl w:val="BB584BC1"/>
    <w:lvl w:ilvl="0">
      <w:start w:val="1"/>
      <w:numFmt w:val="decimal"/>
      <w:lvlText w:val="%1)"/>
      <w:lvlJc w:val="left"/>
      <w:pPr>
        <w:ind w:left="425" w:hanging="425"/>
      </w:pPr>
    </w:lvl>
  </w:abstractNum>
  <w:abstractNum w:abstractNumId="2" w15:restartNumberingAfterBreak="0">
    <w:nsid w:val="DDFB5029"/>
    <w:multiLevelType w:val="singleLevel"/>
    <w:tmpl w:val="DDFB502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E76B65C9"/>
    <w:multiLevelType w:val="singleLevel"/>
    <w:tmpl w:val="46824D36"/>
    <w:lvl w:ilvl="0">
      <w:start w:val="1"/>
      <w:numFmt w:val="decimalEnclosedCircleChinese"/>
      <w:suff w:val="nothing"/>
      <w:lvlText w:val="%1　"/>
      <w:lvlJc w:val="left"/>
      <w:pPr>
        <w:ind w:left="0" w:firstLine="403"/>
      </w:pPr>
      <w:rPr>
        <w:b w:val="0"/>
      </w:rPr>
    </w:lvl>
  </w:abstractNum>
  <w:abstractNum w:abstractNumId="4" w15:restartNumberingAfterBreak="0">
    <w:nsid w:val="FBF0D4C2"/>
    <w:multiLevelType w:val="singleLevel"/>
    <w:tmpl w:val="FBF0D4C2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FEEFED49"/>
    <w:multiLevelType w:val="singleLevel"/>
    <w:tmpl w:val="FEEFED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FEFFC165"/>
    <w:multiLevelType w:val="singleLevel"/>
    <w:tmpl w:val="FEFFC1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CD23DC1"/>
    <w:multiLevelType w:val="multilevel"/>
    <w:tmpl w:val="2CD23DC1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4CE7ADD"/>
    <w:multiLevelType w:val="multilevel"/>
    <w:tmpl w:val="34CE7ADD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F294A15"/>
    <w:multiLevelType w:val="multilevel"/>
    <w:tmpl w:val="3F294A1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E32F57"/>
    <w:multiLevelType w:val="multilevel"/>
    <w:tmpl w:val="46E32F5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96F0124"/>
    <w:multiLevelType w:val="singleLevel"/>
    <w:tmpl w:val="796F0124"/>
    <w:lvl w:ilvl="0">
      <w:start w:val="1"/>
      <w:numFmt w:val="decimalEnclosedCircleChinese"/>
      <w:suff w:val="nothing"/>
      <w:lvlText w:val="%1　"/>
      <w:lvlJc w:val="left"/>
      <w:pPr>
        <w:ind w:left="0" w:firstLine="403"/>
      </w:pPr>
    </w:lvl>
  </w:abstractNum>
  <w:num w:numId="1">
    <w:abstractNumId w:val="4"/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A9"/>
    <w:rsid w:val="BDFEC2EA"/>
    <w:rsid w:val="C6FDA3DC"/>
    <w:rsid w:val="DD5B7A9B"/>
    <w:rsid w:val="E17B65A3"/>
    <w:rsid w:val="F3546A11"/>
    <w:rsid w:val="FF7DAC66"/>
    <w:rsid w:val="0000343A"/>
    <w:rsid w:val="00005C75"/>
    <w:rsid w:val="00044FE2"/>
    <w:rsid w:val="0008249C"/>
    <w:rsid w:val="00096BCC"/>
    <w:rsid w:val="000A6522"/>
    <w:rsid w:val="000C071D"/>
    <w:rsid w:val="000C15B9"/>
    <w:rsid w:val="000D7542"/>
    <w:rsid w:val="00100D9A"/>
    <w:rsid w:val="0011086B"/>
    <w:rsid w:val="00110A7B"/>
    <w:rsid w:val="00115171"/>
    <w:rsid w:val="00127A11"/>
    <w:rsid w:val="00147E60"/>
    <w:rsid w:val="00160C54"/>
    <w:rsid w:val="001B3339"/>
    <w:rsid w:val="001D4668"/>
    <w:rsid w:val="001E2854"/>
    <w:rsid w:val="001E5AB6"/>
    <w:rsid w:val="00222B5B"/>
    <w:rsid w:val="00223704"/>
    <w:rsid w:val="00226F65"/>
    <w:rsid w:val="002655E1"/>
    <w:rsid w:val="0028503C"/>
    <w:rsid w:val="002B500C"/>
    <w:rsid w:val="002E0A88"/>
    <w:rsid w:val="002E1ACA"/>
    <w:rsid w:val="002F10B8"/>
    <w:rsid w:val="002F4FCA"/>
    <w:rsid w:val="00393D12"/>
    <w:rsid w:val="003A31A4"/>
    <w:rsid w:val="003B0C71"/>
    <w:rsid w:val="003C7EE5"/>
    <w:rsid w:val="003D7C88"/>
    <w:rsid w:val="00411555"/>
    <w:rsid w:val="00437CB5"/>
    <w:rsid w:val="00457567"/>
    <w:rsid w:val="00457B34"/>
    <w:rsid w:val="004878B1"/>
    <w:rsid w:val="00491CF8"/>
    <w:rsid w:val="004B5712"/>
    <w:rsid w:val="004D420D"/>
    <w:rsid w:val="004D5917"/>
    <w:rsid w:val="005039ED"/>
    <w:rsid w:val="00527F5D"/>
    <w:rsid w:val="00557A03"/>
    <w:rsid w:val="00577FF8"/>
    <w:rsid w:val="005804F7"/>
    <w:rsid w:val="005B6C31"/>
    <w:rsid w:val="00620F3E"/>
    <w:rsid w:val="00646831"/>
    <w:rsid w:val="00672A47"/>
    <w:rsid w:val="006804AD"/>
    <w:rsid w:val="006812FD"/>
    <w:rsid w:val="006A0B17"/>
    <w:rsid w:val="006A1EBF"/>
    <w:rsid w:val="006B39B2"/>
    <w:rsid w:val="006C25AC"/>
    <w:rsid w:val="006E75F1"/>
    <w:rsid w:val="0074320B"/>
    <w:rsid w:val="00753CB8"/>
    <w:rsid w:val="007550CA"/>
    <w:rsid w:val="00785C61"/>
    <w:rsid w:val="007A3C4A"/>
    <w:rsid w:val="007D4C55"/>
    <w:rsid w:val="007E0C75"/>
    <w:rsid w:val="00810E13"/>
    <w:rsid w:val="008A3558"/>
    <w:rsid w:val="008C02F8"/>
    <w:rsid w:val="008C75C0"/>
    <w:rsid w:val="008E045F"/>
    <w:rsid w:val="008E3439"/>
    <w:rsid w:val="008F079D"/>
    <w:rsid w:val="009853AA"/>
    <w:rsid w:val="009927DB"/>
    <w:rsid w:val="009A78E2"/>
    <w:rsid w:val="009E1EF2"/>
    <w:rsid w:val="009E7764"/>
    <w:rsid w:val="00A227D9"/>
    <w:rsid w:val="00A25CEC"/>
    <w:rsid w:val="00A27200"/>
    <w:rsid w:val="00A93AF4"/>
    <w:rsid w:val="00AC092D"/>
    <w:rsid w:val="00B0184F"/>
    <w:rsid w:val="00B05095"/>
    <w:rsid w:val="00B2583E"/>
    <w:rsid w:val="00B31BD3"/>
    <w:rsid w:val="00B44907"/>
    <w:rsid w:val="00B605B9"/>
    <w:rsid w:val="00BA34FF"/>
    <w:rsid w:val="00BC2DDA"/>
    <w:rsid w:val="00C25677"/>
    <w:rsid w:val="00C82FB4"/>
    <w:rsid w:val="00C97B79"/>
    <w:rsid w:val="00D265C2"/>
    <w:rsid w:val="00D55517"/>
    <w:rsid w:val="00E05E17"/>
    <w:rsid w:val="00E15E49"/>
    <w:rsid w:val="00E37C4D"/>
    <w:rsid w:val="00E45307"/>
    <w:rsid w:val="00E457A8"/>
    <w:rsid w:val="00E519E2"/>
    <w:rsid w:val="00E81AA9"/>
    <w:rsid w:val="00E863EE"/>
    <w:rsid w:val="00F32C5C"/>
    <w:rsid w:val="00F44EB7"/>
    <w:rsid w:val="00F46766"/>
    <w:rsid w:val="00F70235"/>
    <w:rsid w:val="00F82AC5"/>
    <w:rsid w:val="00F939CF"/>
    <w:rsid w:val="00FD2764"/>
    <w:rsid w:val="00FD3E6C"/>
    <w:rsid w:val="00FE2B13"/>
    <w:rsid w:val="00FF59C9"/>
    <w:rsid w:val="57BEDD51"/>
    <w:rsid w:val="59FF8C07"/>
    <w:rsid w:val="59FFEE36"/>
    <w:rsid w:val="65E7D514"/>
    <w:rsid w:val="735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5B1AFF"/>
  <w15:docId w15:val="{7974F2DC-9B6A-402D-A2C7-0B6826D9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45F"/>
    <w:pPr>
      <w:widowControl w:val="0"/>
      <w:spacing w:line="360" w:lineRule="auto"/>
      <w:jc w:val="both"/>
    </w:pPr>
    <w:rPr>
      <w:rFonts w:eastAsia="仿宋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仿宋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仿宋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仿宋"/>
      <w:sz w:val="18"/>
      <w:szCs w:val="18"/>
    </w:rPr>
  </w:style>
  <w:style w:type="character" w:styleId="a7">
    <w:name w:val="Hyperlink"/>
    <w:basedOn w:val="a0"/>
    <w:uiPriority w:val="99"/>
    <w:unhideWhenUsed/>
    <w:rsid w:val="001D466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4668"/>
    <w:rPr>
      <w:color w:val="605E5C"/>
      <w:shd w:val="clear" w:color="auto" w:fill="E1DFDD"/>
    </w:rPr>
  </w:style>
  <w:style w:type="table" w:customStyle="1" w:styleId="1">
    <w:name w:val="网格型1"/>
    <w:basedOn w:val="a1"/>
    <w:next w:val="a6"/>
    <w:rsid w:val="001D4668"/>
    <w:pPr>
      <w:widowControl w:val="0"/>
      <w:jc w:val="both"/>
    </w:pPr>
    <w:rPr>
      <w:rFonts w:ascii="Times New Roman" w:eastAsia="宋体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WeChat%20Files\wxid_jo36t90r5ml222\FileStorage\File\2024-12\&#23545;&#25509;&#25351;&#24341;&#65306;%20&#12304;&#33150;&#35759;&#25991;&#26723;&#12305;&#39044;&#20805;&#20540;&#27169;&#24335;&#20805;&#30005;&#26729;&#23545;&#25509;&#25351;&#24341;%20https:\docs.qq.com\sheet\DUUlUSHZ5QmR5bG9n%3ftab=BB08J2" TargetMode="External"/><Relationship Id="rId13" Type="http://schemas.openxmlformats.org/officeDocument/2006/relationships/hyperlink" Target="https://isv-test.allinpay.com/doc/682/" TargetMode="External"/><Relationship Id="rId18" Type="http://schemas.openxmlformats.org/officeDocument/2006/relationships/hyperlink" Target="https://isv-test.allinpay.com/doc/85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sv-test.allinpay.com/doc/683/" TargetMode="External"/><Relationship Id="rId17" Type="http://schemas.openxmlformats.org/officeDocument/2006/relationships/hyperlink" Target="https://isv-test.allinpay.com/doc/68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sv-test.allinpay.com/doc/859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v-test.allinpay.com/doc/68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sv-test.allinpay.com/doc/1516/" TargetMode="External"/><Relationship Id="rId10" Type="http://schemas.openxmlformats.org/officeDocument/2006/relationships/hyperlink" Target="https://isv-test.allinpay.com/doc/685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sv-test.allinpay.com/doc/680/" TargetMode="External"/><Relationship Id="rId14" Type="http://schemas.openxmlformats.org/officeDocument/2006/relationships/hyperlink" Target="https://isv-test.allinpay.com/doc/874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3132</Words>
  <Characters>3384</Characters>
  <Application>Microsoft Office Word</Application>
  <DocSecurity>0</DocSecurity>
  <Lines>676</Lines>
  <Paragraphs>542</Paragraphs>
  <ScaleCrop>false</ScaleCrop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吴小路</dc:creator>
  <cp:lastModifiedBy>卢媛媛</cp:lastModifiedBy>
  <cp:revision>4</cp:revision>
  <cp:lastPrinted>2024-04-20T01:13:00Z</cp:lastPrinted>
  <dcterms:created xsi:type="dcterms:W3CDTF">2025-06-23T02:55:00Z</dcterms:created>
  <dcterms:modified xsi:type="dcterms:W3CDTF">2025-06-23T03:04:00Z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8F7A760CA7800D6EB7D62A67F39770E0_42</vt:lpwstr>
  </property>
</Properties>
</file>