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1FB67">
      <w:pPr>
        <w:widowControl/>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兴业银行信用卡快捷支付业务线上服务协议</w:t>
      </w:r>
    </w:p>
    <w:p w14:paraId="5FF78EA2">
      <w:pPr>
        <w:widowControl/>
        <w:jc w:val="center"/>
        <w:rPr>
          <w:rFonts w:ascii="仿宋" w:hAnsi="仿宋" w:eastAsia="仿宋" w:cs="宋体"/>
          <w:b/>
          <w:color w:val="000000"/>
          <w:kern w:val="0"/>
          <w:sz w:val="28"/>
          <w:szCs w:val="28"/>
        </w:rPr>
      </w:pPr>
    </w:p>
    <w:p w14:paraId="5DF230D2">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本协议</w:t>
      </w:r>
      <w:bookmarkStart w:id="0" w:name="baidusnap0"/>
      <w:bookmarkEnd w:id="0"/>
      <w:r>
        <w:rPr>
          <w:rFonts w:hint="eastAsia" w:ascii="仿宋" w:hAnsi="仿宋" w:eastAsia="仿宋" w:cs="宋体"/>
          <w:color w:val="000000"/>
          <w:kern w:val="0"/>
          <w:sz w:val="28"/>
          <w:szCs w:val="28"/>
        </w:rPr>
        <w:t>由兴业银行（以下简称“我行”）与我行持卡人(以下简称 “您”)就兴业信用卡快捷支付服务（以下简称“快捷支付服务”）的使用等相关事项所订立。您通过互联网（Internet）页面点击确认或以其他方式选择接受本协议，即表示您同意接受本协议的全部约定内容，确认承担由此产生的</w:t>
      </w:r>
      <w:r>
        <w:rPr>
          <w:rFonts w:ascii="仿宋" w:hAnsi="仿宋" w:eastAsia="仿宋" w:cs="宋体"/>
          <w:color w:val="000000"/>
          <w:kern w:val="0"/>
          <w:sz w:val="28"/>
          <w:szCs w:val="28"/>
        </w:rPr>
        <w:t>相关</w:t>
      </w:r>
      <w:r>
        <w:rPr>
          <w:rFonts w:hint="eastAsia" w:ascii="仿宋" w:hAnsi="仿宋" w:eastAsia="仿宋" w:cs="宋体"/>
          <w:color w:val="000000"/>
          <w:kern w:val="0"/>
          <w:sz w:val="28"/>
          <w:szCs w:val="28"/>
        </w:rPr>
        <w:t>责任。</w:t>
      </w:r>
    </w:p>
    <w:p w14:paraId="59F9358A">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在接受本协议之前，请您仔细阅读本协议的全部内容（特别是以</w:t>
      </w:r>
      <w:r>
        <w:rPr>
          <w:rFonts w:hint="eastAsia" w:ascii="仿宋" w:hAnsi="仿宋" w:eastAsia="仿宋" w:cs="宋体"/>
          <w:b/>
          <w:color w:val="000000"/>
          <w:kern w:val="0"/>
          <w:sz w:val="28"/>
          <w:szCs w:val="28"/>
          <w:u w:val="single"/>
        </w:rPr>
        <w:t>粗体下划线</w:t>
      </w:r>
      <w:r>
        <w:rPr>
          <w:rFonts w:hint="eastAsia" w:ascii="仿宋" w:hAnsi="仿宋" w:eastAsia="仿宋" w:cs="宋体"/>
          <w:color w:val="000000"/>
          <w:kern w:val="0"/>
          <w:sz w:val="28"/>
          <w:szCs w:val="28"/>
        </w:rPr>
        <w:t>标注的内容）。如果您不同意本协议的任何内容，或者无法准确理解相关条款的解释，请不要进行后续操作。</w:t>
      </w:r>
      <w:r>
        <w:rPr>
          <w:rFonts w:hint="eastAsia" w:ascii="微软雅黑" w:hAnsi="微软雅黑" w:eastAsia="仿宋" w:cs="宋体"/>
          <w:color w:val="000000"/>
          <w:kern w:val="0"/>
          <w:sz w:val="28"/>
          <w:szCs w:val="28"/>
        </w:rPr>
        <w:t> </w:t>
      </w:r>
    </w:p>
    <w:p w14:paraId="595217AF">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您应确保您在使用本服务时绑定的信用卡为您本人所有，并确保您将您的</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账户与该银行卡绑定且用其支付的行为合法、有效，未侵犯任何第三方合法权益；否则因此造成我行、持卡人损失的，您应负责赔偿并承担全部法律责任。</w:t>
      </w:r>
      <w:r>
        <w:rPr>
          <w:rFonts w:hint="eastAsia" w:ascii="微软雅黑" w:hAnsi="微软雅黑" w:eastAsia="仿宋" w:cs="宋体"/>
          <w:color w:val="000000"/>
          <w:kern w:val="0"/>
          <w:sz w:val="28"/>
          <w:szCs w:val="28"/>
        </w:rPr>
        <w:t> </w:t>
      </w:r>
    </w:p>
    <w:p w14:paraId="5699CB6C">
      <w:pPr>
        <w:widowControl/>
        <w:ind w:firstLine="576" w:firstLineChars="205"/>
        <w:jc w:val="left"/>
        <w:rPr>
          <w:rFonts w:ascii="仿宋" w:hAnsi="仿宋" w:eastAsia="仿宋" w:cs="宋体"/>
          <w:b/>
          <w:color w:val="000000"/>
          <w:kern w:val="0"/>
          <w:sz w:val="28"/>
          <w:szCs w:val="28"/>
          <w:u w:val="single"/>
        </w:rPr>
      </w:pPr>
      <w:r>
        <w:rPr>
          <w:rFonts w:hint="eastAsia" w:ascii="仿宋" w:hAnsi="仿宋" w:eastAsia="仿宋" w:cs="宋体"/>
          <w:b/>
          <w:color w:val="000000"/>
          <w:kern w:val="0"/>
          <w:sz w:val="28"/>
          <w:szCs w:val="28"/>
          <w:u w:val="single"/>
        </w:rPr>
        <w:t>您同意授权兴业银行将您的银行卡信息包括但不限于姓名、银行卡卡号、在我行预留的手机号码、身份证号码等通过网联清算有限公司或中国银联股份有限公司或</w:t>
      </w:r>
      <w:r>
        <w:rPr>
          <w:rFonts w:hint="eastAsia" w:ascii="仿宋" w:hAnsi="仿宋" w:eastAsia="仿宋" w:cs="仿宋_GB2312"/>
          <w:sz w:val="28"/>
          <w:szCs w:val="28"/>
        </w:rPr>
        <w:t>连通（杭州）技术服务有限公司(以下简称合法清算机构)</w:t>
      </w:r>
      <w:r>
        <w:rPr>
          <w:rFonts w:hint="eastAsia" w:ascii="仿宋" w:hAnsi="仿宋" w:eastAsia="仿宋" w:cs="宋体"/>
          <w:b/>
          <w:color w:val="000000"/>
          <w:kern w:val="0"/>
          <w:sz w:val="28"/>
          <w:szCs w:val="28"/>
          <w:u w:val="single"/>
        </w:rPr>
        <w:t>提供给</w:t>
      </w:r>
      <w:r>
        <w:rPr>
          <w:rFonts w:ascii="仿宋" w:hAnsi="仿宋" w:eastAsia="仿宋" w:cs="宋体"/>
          <w:color w:val="000000"/>
          <w:kern w:val="0"/>
          <w:sz w:val="28"/>
          <w:szCs w:val="28"/>
          <w:u w:val="single"/>
        </w:rPr>
        <w:t xml:space="preserve"> 通联支付网络服务股份有限公司 （机构全称及简称）</w:t>
      </w:r>
      <w:r>
        <w:rPr>
          <w:rFonts w:hint="eastAsia" w:ascii="仿宋" w:hAnsi="仿宋" w:eastAsia="仿宋" w:cs="宋体"/>
          <w:b/>
          <w:color w:val="000000"/>
          <w:kern w:val="0"/>
          <w:sz w:val="28"/>
          <w:szCs w:val="28"/>
          <w:u w:val="single"/>
        </w:rPr>
        <w:t>进行交叉验证，用于开通</w:t>
      </w:r>
      <w:r>
        <w:rPr>
          <w:rFonts w:ascii="仿宋" w:hAnsi="仿宋" w:eastAsia="仿宋" w:cs="宋体"/>
          <w:color w:val="000000"/>
          <w:kern w:val="0"/>
          <w:sz w:val="28"/>
          <w:szCs w:val="28"/>
          <w:u w:val="single"/>
        </w:rPr>
        <w:t xml:space="preserve">   通联支付</w:t>
      </w:r>
      <w:r>
        <w:rPr>
          <w:rFonts w:hint="eastAsia" w:ascii="仿宋" w:hAnsi="仿宋" w:eastAsia="仿宋" w:cs="宋体"/>
          <w:color w:val="000000"/>
          <w:kern w:val="0"/>
          <w:sz w:val="28"/>
          <w:szCs w:val="28"/>
          <w:u w:val="single"/>
        </w:rPr>
        <w:t xml:space="preserve"> </w:t>
      </w:r>
      <w:r>
        <w:rPr>
          <w:rFonts w:hint="eastAsia" w:ascii="仿宋" w:hAnsi="仿宋" w:eastAsia="仿宋" w:cs="宋体"/>
          <w:b/>
          <w:color w:val="000000"/>
          <w:kern w:val="0"/>
          <w:sz w:val="28"/>
          <w:szCs w:val="28"/>
          <w:u w:val="single"/>
        </w:rPr>
        <w:t>快捷支付服务；您同意我行对由</w:t>
      </w:r>
      <w:r>
        <w:rPr>
          <w:rFonts w:ascii="仿宋" w:hAnsi="仿宋" w:eastAsia="仿宋" w:cs="宋体"/>
          <w:color w:val="000000"/>
          <w:kern w:val="0"/>
          <w:sz w:val="28"/>
          <w:szCs w:val="28"/>
          <w:u w:val="single"/>
        </w:rPr>
        <w:t xml:space="preserve"> 通联支付</w:t>
      </w:r>
      <w:r>
        <w:rPr>
          <w:rFonts w:hint="eastAsia" w:ascii="仿宋" w:hAnsi="仿宋" w:eastAsia="仿宋" w:cs="宋体"/>
          <w:color w:val="000000"/>
          <w:kern w:val="0"/>
          <w:sz w:val="28"/>
          <w:szCs w:val="28"/>
          <w:u w:val="single"/>
        </w:rPr>
        <w:t xml:space="preserve"> </w:t>
      </w:r>
      <w:r>
        <w:rPr>
          <w:rFonts w:hint="eastAsia" w:ascii="仿宋" w:hAnsi="仿宋" w:eastAsia="仿宋" w:cs="宋体"/>
          <w:b/>
          <w:color w:val="000000"/>
          <w:kern w:val="0"/>
          <w:sz w:val="28"/>
          <w:szCs w:val="28"/>
          <w:u w:val="single"/>
        </w:rPr>
        <w:t>收集并通过合法清算机构转交我行的，您在使用本服务过程中所涉及的包括但不限于姓名、银行卡卡号、手机号码、身份证号码等进行校对核验；并同意将该银行卡与您此次登录的</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b/>
          <w:color w:val="000000"/>
          <w:kern w:val="0"/>
          <w:sz w:val="28"/>
          <w:szCs w:val="28"/>
          <w:u w:val="single"/>
        </w:rPr>
        <w:t xml:space="preserve">账户进行绑定，或将由您指定的从   通联支付 </w:t>
      </w:r>
      <w:r>
        <w:rPr>
          <w:rFonts w:ascii="仿宋" w:hAnsi="仿宋" w:eastAsia="仿宋" w:cs="宋体"/>
          <w:b/>
          <w:color w:val="000000"/>
          <w:kern w:val="0"/>
          <w:sz w:val="28"/>
          <w:szCs w:val="28"/>
          <w:u w:val="single"/>
        </w:rPr>
        <w:t xml:space="preserve"> </w:t>
      </w:r>
      <w:r>
        <w:rPr>
          <w:rFonts w:hint="eastAsia" w:ascii="仿宋" w:hAnsi="仿宋" w:eastAsia="仿宋" w:cs="宋体"/>
          <w:b/>
          <w:color w:val="000000"/>
          <w:kern w:val="0"/>
          <w:sz w:val="28"/>
          <w:szCs w:val="28"/>
          <w:u w:val="single"/>
        </w:rPr>
        <w:t xml:space="preserve">获得并展示在我行页面的  通联支付 </w:t>
      </w:r>
      <w:r>
        <w:rPr>
          <w:rFonts w:ascii="仿宋" w:hAnsi="仿宋" w:eastAsia="仿宋" w:cs="宋体"/>
          <w:b/>
          <w:color w:val="000000"/>
          <w:kern w:val="0"/>
          <w:sz w:val="28"/>
          <w:szCs w:val="28"/>
          <w:u w:val="single"/>
        </w:rPr>
        <w:t xml:space="preserve"> </w:t>
      </w:r>
      <w:r>
        <w:rPr>
          <w:rFonts w:hint="eastAsia" w:ascii="仿宋" w:hAnsi="仿宋" w:eastAsia="仿宋" w:cs="宋体"/>
          <w:b/>
          <w:color w:val="000000"/>
          <w:kern w:val="0"/>
          <w:sz w:val="28"/>
          <w:szCs w:val="28"/>
          <w:u w:val="single"/>
        </w:rPr>
        <w:t>账号进行绑定，以便您此次及今后进行支付。特别提示，如您选择在我行提供的页面进行快捷支付开通签约的全程操作，通联支付 可将您登记在其平台的账号信息经必要脱敏后回传并显示在我行为您提供的签约页面上，以便您进行绑卡账户的选择与确认，您对此已知悉并同意。</w:t>
      </w:r>
    </w:p>
    <w:p w14:paraId="6FB39FCA">
      <w:pPr>
        <w:widowControl/>
        <w:ind w:firstLine="574" w:firstLineChars="205"/>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我行重视对个人信息的处理和保护,将遵循合法、正当、必要的原则，依照法律法规与《兴业银行信用卡领用合约》</w:t>
      </w:r>
      <w:bookmarkStart w:id="1" w:name="_GoBack"/>
      <w:bookmarkEnd w:id="1"/>
      <w:r>
        <w:rPr>
          <w:rFonts w:hint="eastAsia" w:ascii="仿宋" w:hAnsi="仿宋" w:eastAsia="仿宋" w:cs="宋体"/>
          <w:color w:val="000000"/>
          <w:kern w:val="0"/>
          <w:sz w:val="28"/>
          <w:szCs w:val="28"/>
        </w:rPr>
        <w:t>相关条款约定，严格保护您的信息。</w:t>
      </w:r>
    </w:p>
    <w:p w14:paraId="73E8EAA1">
      <w:pPr>
        <w:widowControl/>
        <w:ind w:firstLine="574" w:firstLineChars="205"/>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您可通过</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APP、我行手机银行APP、我行信用卡“好兴动</w:t>
      </w:r>
      <w:r>
        <w:rPr>
          <w:rFonts w:ascii="仿宋" w:hAnsi="仿宋" w:eastAsia="仿宋" w:cs="宋体"/>
          <w:color w:val="000000"/>
          <w:kern w:val="0"/>
          <w:sz w:val="28"/>
          <w:szCs w:val="28"/>
        </w:rPr>
        <w:t>”</w:t>
      </w:r>
      <w:r>
        <w:rPr>
          <w:rFonts w:hint="eastAsia" w:ascii="仿宋" w:hAnsi="仿宋" w:eastAsia="仿宋" w:cs="宋体"/>
          <w:color w:val="000000"/>
          <w:kern w:val="0"/>
          <w:sz w:val="28"/>
          <w:szCs w:val="28"/>
        </w:rPr>
        <w:t>A</w:t>
      </w:r>
      <w:r>
        <w:rPr>
          <w:rFonts w:ascii="仿宋" w:hAnsi="仿宋" w:eastAsia="仿宋" w:cs="宋体"/>
          <w:color w:val="000000"/>
          <w:kern w:val="0"/>
          <w:sz w:val="28"/>
          <w:szCs w:val="28"/>
        </w:rPr>
        <w:t>PP、我行智能柜台、我行零售PAD等渠道申请开通</w:t>
      </w:r>
      <w:r>
        <w:rPr>
          <w:rFonts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快捷支付服务（部分渠道仅支持信用卡签约）。</w:t>
      </w:r>
    </w:p>
    <w:p w14:paraId="367E4C8E">
      <w:pPr>
        <w:widowControl/>
        <w:ind w:firstLine="574" w:firstLineChars="205"/>
        <w:jc w:val="left"/>
        <w:rPr>
          <w:rFonts w:ascii="仿宋" w:hAnsi="仿宋" w:eastAsia="仿宋" w:cs="宋体"/>
          <w:b/>
          <w:color w:val="000000"/>
          <w:kern w:val="0"/>
          <w:sz w:val="28"/>
          <w:szCs w:val="28"/>
          <w:u w:val="single"/>
        </w:rPr>
      </w:pPr>
      <w:r>
        <w:rPr>
          <w:rFonts w:hint="eastAsia" w:ascii="仿宋" w:hAnsi="仿宋" w:eastAsia="仿宋" w:cs="宋体"/>
          <w:color w:val="000000"/>
          <w:kern w:val="0"/>
          <w:sz w:val="28"/>
          <w:szCs w:val="28"/>
        </w:rPr>
        <w:t>一旦绑定成功，您在</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网站或相关使用界面输入</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账户密码或</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账户密码及您所收到的手机校验码后，即视为您确认该支付金额及该支付指令，并由</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通过合法清算机构转交我行进行后续处理。</w:t>
      </w:r>
      <w:r>
        <w:rPr>
          <w:rFonts w:hint="eastAsia" w:ascii="仿宋" w:hAnsi="仿宋" w:eastAsia="仿宋" w:cs="宋体"/>
          <w:b/>
          <w:color w:val="000000"/>
          <w:kern w:val="0"/>
          <w:sz w:val="28"/>
          <w:szCs w:val="28"/>
          <w:u w:val="single"/>
        </w:rPr>
        <w:t>您同意并授权我行按照</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b/>
          <w:color w:val="000000"/>
          <w:kern w:val="0"/>
          <w:sz w:val="28"/>
          <w:szCs w:val="28"/>
          <w:u w:val="single"/>
        </w:rPr>
        <w:t>转交的交易指令从您绑定的银行卡账户中支付相应款项。</w:t>
      </w:r>
    </w:p>
    <w:p w14:paraId="281F3CB2">
      <w:pPr>
        <w:widowControl/>
        <w:ind w:firstLine="574" w:firstLineChars="205"/>
        <w:jc w:val="left"/>
        <w:rPr>
          <w:rFonts w:ascii="仿宋" w:hAnsi="仿宋" w:eastAsia="仿宋" w:cs="宋体"/>
          <w:b/>
          <w:color w:val="000000"/>
          <w:kern w:val="0"/>
          <w:sz w:val="28"/>
          <w:szCs w:val="28"/>
          <w:u w:val="single"/>
        </w:rPr>
      </w:pPr>
      <w:r>
        <w:rPr>
          <w:rFonts w:hint="eastAsia" w:ascii="仿宋" w:hAnsi="仿宋" w:eastAsia="仿宋" w:cs="宋体"/>
          <w:color w:val="000000"/>
          <w:kern w:val="0"/>
          <w:sz w:val="28"/>
          <w:szCs w:val="28"/>
        </w:rPr>
        <w:t>您应妥善保管该卡开户户名、开户类型、与之相关的证件类型及证件号码、手机号码、固定电话、通信地址等与该卡有关的一切信息（以下简称“身份信息及卡信息”）。如您遗失银行卡、泄露身份信息或卡信息，您应立即向我行办理挂失,以减少可能发生的损失,挂失在经我行确认后生效,凡挂失生效前所发生的损失将需由您自行承担，《兴业银行信用卡领用合约》另有约定的除外。</w:t>
      </w:r>
      <w:r>
        <w:rPr>
          <w:rFonts w:hint="eastAsia" w:ascii="仿宋" w:hAnsi="仿宋" w:eastAsia="仿宋" w:cs="宋体"/>
          <w:b/>
          <w:color w:val="000000"/>
          <w:kern w:val="0"/>
          <w:sz w:val="28"/>
          <w:szCs w:val="28"/>
          <w:u w:val="single"/>
        </w:rPr>
        <w:t>因您泄露密码、丢失银行卡、丢失手机、丢失电话卡等所致损失需由您自行承担。 </w:t>
      </w:r>
    </w:p>
    <w:p w14:paraId="5170B649">
      <w:pPr>
        <w:widowControl/>
        <w:spacing w:line="360" w:lineRule="auto"/>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您同意我行可根据业务发展需要、保护客户资金安全等原因设置或修改支付限额。您在使用本服务时需同时受我行和</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设置的支付限额的约束。在任何情况下，支付金额不应超过我行或</w:t>
      </w:r>
      <w:r>
        <w:rPr>
          <w:rFonts w:hint="eastAsia" w:ascii="仿宋" w:hAnsi="仿宋" w:eastAsia="仿宋" w:cs="宋体"/>
          <w:color w:val="000000"/>
          <w:kern w:val="0"/>
          <w:sz w:val="28"/>
          <w:szCs w:val="28"/>
          <w:u w:val="single"/>
        </w:rPr>
        <w:t xml:space="preserve">      通联支付</w:t>
      </w:r>
      <w:r>
        <w:rPr>
          <w:rFonts w:hint="eastAsia" w:ascii="仿宋" w:hAnsi="仿宋" w:eastAsia="仿宋" w:cs="宋体"/>
          <w:color w:val="000000"/>
          <w:kern w:val="0"/>
          <w:sz w:val="28"/>
          <w:szCs w:val="28"/>
        </w:rPr>
        <w:t>设置的支付限额（以较少者为准）。如实际支付金额大于支付限额，我行将拒绝执行交易指令。</w:t>
      </w:r>
    </w:p>
    <w:p w14:paraId="0BFB9D15">
      <w:pPr>
        <w:widowControl/>
        <w:ind w:firstLine="560" w:firstLineChars="200"/>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本协议与本行银行卡章程或领用合约相冲突部分，以本协议为准；</w:t>
      </w:r>
      <w:r>
        <w:rPr>
          <w:rFonts w:hint="eastAsia" w:ascii="微软雅黑" w:hAnsi="微软雅黑" w:eastAsia="仿宋" w:cs="宋体"/>
          <w:color w:val="000000"/>
          <w:kern w:val="0"/>
          <w:sz w:val="28"/>
          <w:szCs w:val="28"/>
        </w:rPr>
        <w:t> 本协议未约定事宜，均以本行银行卡章程或领用合约为补充。</w:t>
      </w:r>
    </w:p>
    <w:p w14:paraId="0D91ECED">
      <w:pPr>
        <w:widowControl/>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您不得利用</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快捷支付业务进行套现、虚假交易、洗钱等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r>
        <w:rPr>
          <w:rFonts w:hint="eastAsia" w:ascii="仿宋" w:hAnsi="仿宋" w:eastAsia="仿宋" w:cs="宋体"/>
          <w:color w:val="000000"/>
          <w:kern w:val="0"/>
          <w:sz w:val="28"/>
          <w:szCs w:val="28"/>
          <w:u w:val="single"/>
        </w:rPr>
        <w:t xml:space="preserve">  通联支付 </w:t>
      </w:r>
      <w:r>
        <w:rPr>
          <w:rFonts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快捷支付服务；（2）终止本协议；（3）取消您的用卡资格。</w:t>
      </w:r>
    </w:p>
    <w:p w14:paraId="21113496">
      <w:pPr>
        <w:widowControl/>
        <w:ind w:firstLine="574" w:firstLineChars="205"/>
        <w:jc w:val="left"/>
        <w:rPr>
          <w:rFonts w:ascii="微软雅黑" w:hAnsi="微软雅黑" w:eastAsia="仿宋" w:cs="宋体"/>
          <w:color w:val="000000"/>
          <w:kern w:val="0"/>
          <w:sz w:val="28"/>
          <w:szCs w:val="28"/>
        </w:rPr>
      </w:pPr>
      <w:r>
        <w:rPr>
          <w:rFonts w:hint="eastAsia" w:ascii="仿宋" w:hAnsi="仿宋" w:eastAsia="仿宋" w:cs="宋体"/>
          <w:color w:val="000000"/>
          <w:kern w:val="0"/>
          <w:sz w:val="28"/>
          <w:szCs w:val="28"/>
        </w:rPr>
        <w:t>您同意我行有权变更、暂停本协议项下</w:t>
      </w:r>
      <w:r>
        <w:rPr>
          <w:rFonts w:hint="eastAsia" w:ascii="仿宋" w:hAnsi="仿宋" w:eastAsia="仿宋" w:cs="宋体"/>
          <w:color w:val="000000"/>
          <w:kern w:val="0"/>
          <w:sz w:val="28"/>
          <w:szCs w:val="28"/>
          <w:u w:val="single"/>
        </w:rPr>
        <w:t xml:space="preserve">      通联支付 </w:t>
      </w:r>
      <w:r>
        <w:rPr>
          <w:rFonts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快捷支付业务服务，有权修改、终止本协议，并于执行前通过我行网站进行公告。相关公告经网站发布视为您已收到。您在公告执行后继续办理</w:t>
      </w:r>
      <w:r>
        <w:rPr>
          <w:rFonts w:hint="eastAsia" w:ascii="仿宋" w:hAnsi="仿宋" w:eastAsia="仿宋" w:cs="宋体"/>
          <w:color w:val="000000"/>
          <w:kern w:val="0"/>
          <w:sz w:val="28"/>
          <w:szCs w:val="28"/>
          <w:u w:val="single"/>
        </w:rPr>
        <w:t xml:space="preserve">      通联支付 </w:t>
      </w:r>
      <w:r>
        <w:rPr>
          <w:rFonts w:hint="eastAsia" w:ascii="仿宋" w:hAnsi="仿宋" w:eastAsia="仿宋" w:cs="宋体"/>
          <w:color w:val="000000"/>
          <w:kern w:val="0"/>
          <w:sz w:val="28"/>
          <w:szCs w:val="28"/>
        </w:rPr>
        <w:t>快捷支付业务的，视同接受有关本协议、快捷支付业务服务修改、变更的内容。本协议终止后，</w:t>
      </w:r>
      <w:r>
        <w:rPr>
          <w:rFonts w:hint="eastAsia" w:ascii="仿宋" w:hAnsi="仿宋" w:eastAsia="仿宋" w:cs="宋体"/>
          <w:color w:val="000000"/>
          <w:kern w:val="0"/>
          <w:sz w:val="28"/>
          <w:szCs w:val="28"/>
          <w:u w:val="single"/>
        </w:rPr>
        <w:t xml:space="preserve">      通联支付 </w:t>
      </w:r>
      <w:r>
        <w:rPr>
          <w:rFonts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在协议终止前已接收并发送我行进行处理的交易指令仍有效，您应承担其后果。</w:t>
      </w:r>
      <w:r>
        <w:rPr>
          <w:rFonts w:hint="eastAsia" w:ascii="微软雅黑" w:hAnsi="微软雅黑" w:eastAsia="仿宋" w:cs="宋体"/>
          <w:color w:val="000000"/>
          <w:kern w:val="0"/>
          <w:sz w:val="28"/>
          <w:szCs w:val="28"/>
        </w:rPr>
        <w:t> </w:t>
      </w:r>
    </w:p>
    <w:p w14:paraId="689E3A00">
      <w:pPr>
        <w:widowControl/>
        <w:ind w:firstLine="574" w:firstLineChars="205"/>
        <w:jc w:val="left"/>
        <w:rPr>
          <w:rFonts w:ascii="微软雅黑" w:hAnsi="微软雅黑" w:eastAsia="仿宋" w:cs="宋体"/>
          <w:color w:val="000000"/>
          <w:kern w:val="0"/>
          <w:sz w:val="28"/>
          <w:szCs w:val="28"/>
        </w:rPr>
      </w:pPr>
      <w:r>
        <w:rPr>
          <w:rFonts w:hint="eastAsia" w:ascii="微软雅黑" w:hAnsi="微软雅黑" w:eastAsia="仿宋" w:cs="宋体"/>
          <w:color w:val="000000"/>
          <w:kern w:val="0"/>
          <w:sz w:val="28"/>
          <w:szCs w:val="28"/>
        </w:rPr>
        <w:t>如果您有任何疑问、意见或建议，可在兴业银行各营业网点进行咨询或反映，或通过以下方式联系兴业银行：电话：95561。</w:t>
      </w:r>
    </w:p>
    <w:p w14:paraId="19670BBE">
      <w:pPr>
        <w:widowControl/>
        <w:ind w:firstLine="574" w:firstLineChars="205"/>
        <w:jc w:val="left"/>
        <w:rPr>
          <w:rFonts w:ascii="微软雅黑" w:hAnsi="微软雅黑" w:eastAsia="仿宋" w:cs="宋体"/>
          <w:color w:val="000000"/>
          <w:kern w:val="0"/>
          <w:sz w:val="28"/>
          <w:szCs w:val="28"/>
        </w:rPr>
      </w:pPr>
    </w:p>
    <w:p w14:paraId="33EFC580">
      <w:pPr>
        <w:widowControl/>
        <w:ind w:firstLine="574" w:firstLineChars="205"/>
        <w:jc w:val="left"/>
        <w:rPr>
          <w:rFonts w:ascii="微软雅黑" w:hAnsi="微软雅黑" w:eastAsia="仿宋" w:cs="宋体"/>
          <w:color w:val="000000"/>
          <w:kern w:val="0"/>
          <w:sz w:val="28"/>
          <w:szCs w:val="28"/>
        </w:rPr>
      </w:pPr>
    </w:p>
    <w:p w14:paraId="05DD35E4">
      <w:pPr>
        <w:widowControl/>
        <w:ind w:firstLine="574" w:firstLineChars="205"/>
        <w:jc w:val="left"/>
        <w:rPr>
          <w:rFonts w:ascii="微软雅黑" w:hAnsi="微软雅黑" w:eastAsia="仿宋" w:cs="宋体"/>
          <w:color w:val="000000"/>
          <w:kern w:val="0"/>
          <w:sz w:val="28"/>
          <w:szCs w:val="28"/>
        </w:rPr>
      </w:pPr>
    </w:p>
    <w:p w14:paraId="30F7AC0C">
      <w:pPr>
        <w:widowControl/>
        <w:ind w:firstLine="574" w:firstLineChars="205"/>
        <w:jc w:val="left"/>
        <w:rPr>
          <w:rFonts w:ascii="微软雅黑" w:hAnsi="微软雅黑" w:eastAsia="仿宋" w:cs="宋体"/>
          <w:color w:val="000000"/>
          <w:kern w:val="0"/>
          <w:sz w:val="28"/>
          <w:szCs w:val="28"/>
        </w:rPr>
      </w:pPr>
    </w:p>
    <w:p w14:paraId="5D66CB20">
      <w:pPr>
        <w:widowControl/>
        <w:ind w:firstLine="4774" w:firstLineChars="1705"/>
        <w:jc w:val="left"/>
        <w:rPr>
          <w:rFonts w:ascii="仿宋" w:hAnsi="仿宋" w:eastAsia="仿宋" w:cs="宋体"/>
          <w:color w:val="000000"/>
          <w:kern w:val="0"/>
          <w:sz w:val="28"/>
          <w:szCs w:val="28"/>
          <w:u w:val="single"/>
        </w:rPr>
      </w:pPr>
      <w:r>
        <w:rPr>
          <w:rFonts w:hint="eastAsia" w:ascii="仿宋" w:hAnsi="仿宋" w:eastAsia="仿宋" w:cs="宋体"/>
          <w:color w:val="000000"/>
          <w:kern w:val="0"/>
          <w:sz w:val="28"/>
          <w:szCs w:val="28"/>
          <w:u w:val="single"/>
        </w:rPr>
        <w:t>通联支付联系方式为9</w:t>
      </w:r>
      <w:r>
        <w:rPr>
          <w:rFonts w:ascii="仿宋" w:hAnsi="仿宋" w:eastAsia="仿宋" w:cs="宋体"/>
          <w:color w:val="000000"/>
          <w:kern w:val="0"/>
          <w:sz w:val="28"/>
          <w:szCs w:val="28"/>
          <w:u w:val="single"/>
        </w:rPr>
        <w:t>5193</w:t>
      </w:r>
      <w:r>
        <w:rPr>
          <w:rFonts w:hint="eastAsia" w:ascii="仿宋" w:hAnsi="仿宋" w:eastAsia="仿宋" w:cs="宋体"/>
          <w:color w:val="000000"/>
          <w:kern w:val="0"/>
          <w:sz w:val="28"/>
          <w:szCs w:val="28"/>
          <w:u w:val="single"/>
        </w:rPr>
        <w:t>。</w:t>
      </w:r>
    </w:p>
    <w:p w14:paraId="766C6883">
      <w:pPr>
        <w:spacing w:line="360" w:lineRule="auto"/>
        <w:rPr>
          <w:rFonts w:ascii="仿宋" w:hAnsi="仿宋" w:eastAsia="仿宋"/>
          <w:color w:val="FF0000"/>
          <w:sz w:val="28"/>
          <w:szCs w:val="28"/>
        </w:rPr>
      </w:pPr>
    </w:p>
    <w:p w14:paraId="26BBE850">
      <w:pPr>
        <w:rPr>
          <w:rFonts w:ascii="仿宋" w:hAnsi="仿宋" w:eastAsia="仿宋" w:cs="宋体"/>
          <w:color w:val="FF0000"/>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BEC"/>
    <w:rsid w:val="000572FA"/>
    <w:rsid w:val="0007709F"/>
    <w:rsid w:val="000810BF"/>
    <w:rsid w:val="00094191"/>
    <w:rsid w:val="00144A81"/>
    <w:rsid w:val="0015729F"/>
    <w:rsid w:val="0016334D"/>
    <w:rsid w:val="001B7B98"/>
    <w:rsid w:val="001E562D"/>
    <w:rsid w:val="001E59B5"/>
    <w:rsid w:val="001F12D7"/>
    <w:rsid w:val="0029425E"/>
    <w:rsid w:val="002B2D4F"/>
    <w:rsid w:val="002C50C6"/>
    <w:rsid w:val="002D1B0E"/>
    <w:rsid w:val="0030150D"/>
    <w:rsid w:val="00320ED3"/>
    <w:rsid w:val="003A7CA1"/>
    <w:rsid w:val="003B40CC"/>
    <w:rsid w:val="00402BCD"/>
    <w:rsid w:val="004040D3"/>
    <w:rsid w:val="00406124"/>
    <w:rsid w:val="00410225"/>
    <w:rsid w:val="004360F9"/>
    <w:rsid w:val="00444332"/>
    <w:rsid w:val="00451142"/>
    <w:rsid w:val="00462F69"/>
    <w:rsid w:val="004975B1"/>
    <w:rsid w:val="00497CB1"/>
    <w:rsid w:val="004B3604"/>
    <w:rsid w:val="004D66A0"/>
    <w:rsid w:val="0050738B"/>
    <w:rsid w:val="005133AA"/>
    <w:rsid w:val="005352EE"/>
    <w:rsid w:val="005851A4"/>
    <w:rsid w:val="00585D88"/>
    <w:rsid w:val="00592DA5"/>
    <w:rsid w:val="005C76E4"/>
    <w:rsid w:val="005F6F81"/>
    <w:rsid w:val="0061138C"/>
    <w:rsid w:val="0061690F"/>
    <w:rsid w:val="00634FA1"/>
    <w:rsid w:val="00654CB3"/>
    <w:rsid w:val="006639F2"/>
    <w:rsid w:val="00676408"/>
    <w:rsid w:val="006C1E8F"/>
    <w:rsid w:val="006D1BD7"/>
    <w:rsid w:val="006D7A6E"/>
    <w:rsid w:val="006E3268"/>
    <w:rsid w:val="0070604C"/>
    <w:rsid w:val="00720D8D"/>
    <w:rsid w:val="00722E93"/>
    <w:rsid w:val="0074734A"/>
    <w:rsid w:val="007632EE"/>
    <w:rsid w:val="00770BEC"/>
    <w:rsid w:val="007A4C96"/>
    <w:rsid w:val="007B6599"/>
    <w:rsid w:val="007D3214"/>
    <w:rsid w:val="00853A77"/>
    <w:rsid w:val="008A566A"/>
    <w:rsid w:val="008B407A"/>
    <w:rsid w:val="008B537F"/>
    <w:rsid w:val="008D4F2E"/>
    <w:rsid w:val="008E6B11"/>
    <w:rsid w:val="008E6B85"/>
    <w:rsid w:val="00924DC0"/>
    <w:rsid w:val="009474D4"/>
    <w:rsid w:val="00950EAD"/>
    <w:rsid w:val="009645C6"/>
    <w:rsid w:val="00976EA7"/>
    <w:rsid w:val="009869A6"/>
    <w:rsid w:val="0099790A"/>
    <w:rsid w:val="009A24F1"/>
    <w:rsid w:val="009A5E9D"/>
    <w:rsid w:val="009C5C10"/>
    <w:rsid w:val="009F63BE"/>
    <w:rsid w:val="00A367C7"/>
    <w:rsid w:val="00A55D0A"/>
    <w:rsid w:val="00A602E5"/>
    <w:rsid w:val="00A862F2"/>
    <w:rsid w:val="00AA5CEE"/>
    <w:rsid w:val="00AB43A5"/>
    <w:rsid w:val="00B061B2"/>
    <w:rsid w:val="00B31F27"/>
    <w:rsid w:val="00B53BB8"/>
    <w:rsid w:val="00B5710A"/>
    <w:rsid w:val="00BA2C87"/>
    <w:rsid w:val="00BB6036"/>
    <w:rsid w:val="00BD03F1"/>
    <w:rsid w:val="00BE735D"/>
    <w:rsid w:val="00BF6262"/>
    <w:rsid w:val="00C25829"/>
    <w:rsid w:val="00C3432F"/>
    <w:rsid w:val="00C35D90"/>
    <w:rsid w:val="00C67CA9"/>
    <w:rsid w:val="00C67DA3"/>
    <w:rsid w:val="00C80666"/>
    <w:rsid w:val="00C84B8B"/>
    <w:rsid w:val="00C90093"/>
    <w:rsid w:val="00CC1261"/>
    <w:rsid w:val="00CE789A"/>
    <w:rsid w:val="00D02376"/>
    <w:rsid w:val="00D04C8F"/>
    <w:rsid w:val="00D32865"/>
    <w:rsid w:val="00D5676B"/>
    <w:rsid w:val="00E01A59"/>
    <w:rsid w:val="00E1162C"/>
    <w:rsid w:val="00E12877"/>
    <w:rsid w:val="00E16554"/>
    <w:rsid w:val="00E20A84"/>
    <w:rsid w:val="00E2173D"/>
    <w:rsid w:val="00E423D3"/>
    <w:rsid w:val="00E4495C"/>
    <w:rsid w:val="00E512F5"/>
    <w:rsid w:val="00E63E92"/>
    <w:rsid w:val="00E9606C"/>
    <w:rsid w:val="00EF6EC3"/>
    <w:rsid w:val="00F03A29"/>
    <w:rsid w:val="00F05F36"/>
    <w:rsid w:val="00F23445"/>
    <w:rsid w:val="00F61F9C"/>
    <w:rsid w:val="00F873BD"/>
    <w:rsid w:val="00FA7D40"/>
    <w:rsid w:val="03372E3A"/>
    <w:rsid w:val="04611802"/>
    <w:rsid w:val="049E5345"/>
    <w:rsid w:val="077B63D2"/>
    <w:rsid w:val="0B6C1AB3"/>
    <w:rsid w:val="12EE1570"/>
    <w:rsid w:val="14826EB9"/>
    <w:rsid w:val="206E479B"/>
    <w:rsid w:val="21596EFA"/>
    <w:rsid w:val="28BF6541"/>
    <w:rsid w:val="2BE30393"/>
    <w:rsid w:val="2FEF38FE"/>
    <w:rsid w:val="451D6C71"/>
    <w:rsid w:val="50806022"/>
    <w:rsid w:val="5A7E48B7"/>
    <w:rsid w:val="5F692BA2"/>
    <w:rsid w:val="72A8192C"/>
    <w:rsid w:val="7BFF18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4</Pages>
  <Words>1854</Words>
  <Characters>1877</Characters>
  <Lines>14</Lines>
  <Paragraphs>4</Paragraphs>
  <TotalTime>31</TotalTime>
  <ScaleCrop>false</ScaleCrop>
  <LinksUpToDate>false</LinksUpToDate>
  <CharactersWithSpaces>1987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2022-02-17T13:27:00Z</dcterms:created>
  <dc:creator>张韵宁</dc:creator>
  <cp:lastModifiedBy>Irislin</cp:lastModifiedBy>
  <cp:lastPrinted>2022-02-16T14:47:00Z</cp:lastPrinted>
  <dcterms:modified xsi:type="dcterms:W3CDTF">2026-06-25T07:05:42Z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C64D20EA82168D9AA2D23C6A9B4397AA_42</vt:lpwstr>
  </property>
  <property fmtid="{D5CDD505-2E9C-101B-9397-08002B2CF9AE}" pid="4" name="KSOTemplateDocerSaveRecord">
    <vt:lpwstr>eyJoZGlkIjoiMjE2MzQwN2Y1ODRmODBkNzc1OTgyNzkyY2FhODc4YmQiLCJ1c2VySWQiOiI0NDM1OTYxNjgifQ==</vt:lpwstr>
  </property>
</Properties>
</file>